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9931" w14:textId="548EEC4B" w:rsidR="00FC6D40" w:rsidRPr="00611CC9" w:rsidRDefault="00FC6D40" w:rsidP="00FC6D40">
      <w:pPr>
        <w:rPr>
          <w:b/>
          <w:sz w:val="36"/>
          <w:szCs w:val="36"/>
        </w:rPr>
      </w:pPr>
      <w:r w:rsidRPr="003E1F91">
        <w:rPr>
          <w:b/>
          <w:bCs/>
          <w:sz w:val="36"/>
          <w:szCs w:val="36"/>
        </w:rPr>
        <w:t>Nyheter</w:t>
      </w:r>
      <w:r w:rsidRPr="00611CC9">
        <w:rPr>
          <w:b/>
          <w:bCs/>
          <w:sz w:val="36"/>
          <w:szCs w:val="36"/>
        </w:rPr>
        <w:t xml:space="preserve"> </w:t>
      </w:r>
      <w:r w:rsidRPr="00611CC9">
        <w:rPr>
          <w:b/>
          <w:sz w:val="36"/>
          <w:szCs w:val="36"/>
        </w:rPr>
        <w:t>Sveriges skolchefer</w:t>
      </w:r>
      <w:r>
        <w:rPr>
          <w:b/>
          <w:sz w:val="36"/>
          <w:szCs w:val="36"/>
        </w:rPr>
        <w:t xml:space="preserve"> april 2026</w:t>
      </w:r>
    </w:p>
    <w:p w14:paraId="049231B8" w14:textId="77777777" w:rsidR="00E458C1" w:rsidRDefault="00E458C1" w:rsidP="00E458C1">
      <w:pPr>
        <w:rPr>
          <w:b/>
          <w:bCs/>
          <w:sz w:val="32"/>
          <w:szCs w:val="32"/>
        </w:rPr>
      </w:pPr>
    </w:p>
    <w:p w14:paraId="6D861D6E" w14:textId="2A7FD16E" w:rsidR="00E458C1" w:rsidRPr="000F2F8C" w:rsidRDefault="00E458C1" w:rsidP="00E458C1">
      <w:pPr>
        <w:rPr>
          <w:b/>
          <w:bCs/>
          <w:sz w:val="32"/>
          <w:szCs w:val="32"/>
        </w:rPr>
      </w:pPr>
      <w:r w:rsidRPr="000F2F8C">
        <w:rPr>
          <w:b/>
          <w:bCs/>
          <w:sz w:val="32"/>
          <w:szCs w:val="32"/>
        </w:rPr>
        <w:t>Regeringen: Språk</w:t>
      </w:r>
      <w:r>
        <w:rPr>
          <w:b/>
          <w:bCs/>
          <w:sz w:val="32"/>
          <w:szCs w:val="32"/>
        </w:rPr>
        <w:t>frukost</w:t>
      </w:r>
      <w:r w:rsidRPr="000F2F8C">
        <w:rPr>
          <w:b/>
          <w:bCs/>
          <w:sz w:val="32"/>
          <w:szCs w:val="32"/>
        </w:rPr>
        <w:t xml:space="preserve"> i skolan</w:t>
      </w:r>
    </w:p>
    <w:p w14:paraId="4D2403D0" w14:textId="77777777" w:rsidR="00E458C1" w:rsidRPr="000F2F8C" w:rsidRDefault="00E458C1" w:rsidP="00E458C1">
      <w:pPr>
        <w:rPr>
          <w:sz w:val="24"/>
          <w:szCs w:val="24"/>
        </w:rPr>
      </w:pPr>
      <w:r w:rsidRPr="000F2F8C">
        <w:rPr>
          <w:sz w:val="24"/>
          <w:szCs w:val="24"/>
        </w:rPr>
        <w:t xml:space="preserve"> </w:t>
      </w:r>
    </w:p>
    <w:p w14:paraId="79B33054" w14:textId="77777777" w:rsidR="00E458C1" w:rsidRDefault="00E458C1" w:rsidP="00E458C1">
      <w:pPr>
        <w:rPr>
          <w:sz w:val="24"/>
          <w:szCs w:val="24"/>
        </w:rPr>
      </w:pPr>
      <w:r w:rsidRPr="000F2F8C">
        <w:rPr>
          <w:sz w:val="24"/>
          <w:szCs w:val="24"/>
        </w:rPr>
        <w:t xml:space="preserve">I </w:t>
      </w:r>
      <w:proofErr w:type="spellStart"/>
      <w:r w:rsidRPr="000F2F8C">
        <w:rPr>
          <w:sz w:val="24"/>
          <w:szCs w:val="24"/>
        </w:rPr>
        <w:t>vårändringsbudgeten</w:t>
      </w:r>
      <w:proofErr w:type="spellEnd"/>
      <w:r w:rsidRPr="000F2F8C">
        <w:rPr>
          <w:sz w:val="24"/>
          <w:szCs w:val="24"/>
        </w:rPr>
        <w:t xml:space="preserve"> föreslår regeringen en ny satsning på språkträning i svenska genom språkfrukost och ytterligare satsningar på böcker och läxhjälp.</w:t>
      </w:r>
    </w:p>
    <w:p w14:paraId="6A520AB0" w14:textId="77777777" w:rsidR="00E458C1" w:rsidRPr="000F2F8C" w:rsidRDefault="00E458C1" w:rsidP="00E458C1">
      <w:pPr>
        <w:rPr>
          <w:sz w:val="24"/>
          <w:szCs w:val="24"/>
        </w:rPr>
      </w:pPr>
      <w:r w:rsidRPr="000F2F8C">
        <w:rPr>
          <w:sz w:val="24"/>
          <w:szCs w:val="24"/>
        </w:rPr>
        <w:t xml:space="preserve"> </w:t>
      </w:r>
    </w:p>
    <w:p w14:paraId="6870EBA9" w14:textId="77777777" w:rsidR="00E458C1" w:rsidRPr="000F2F8C" w:rsidRDefault="00E458C1" w:rsidP="00E458C1">
      <w:pPr>
        <w:rPr>
          <w:sz w:val="24"/>
          <w:szCs w:val="24"/>
        </w:rPr>
      </w:pPr>
      <w:r w:rsidRPr="000F2F8C">
        <w:rPr>
          <w:sz w:val="24"/>
          <w:szCs w:val="24"/>
        </w:rPr>
        <w:t>För språkfrukost avsätts 30 miljoner kronor avsätts för höstterminen 2026. Medlen ska användas till personal- och frukostkostnader.</w:t>
      </w:r>
    </w:p>
    <w:p w14:paraId="4F0D978C" w14:textId="64B3590D" w:rsidR="00E458C1" w:rsidRPr="000F2F8C" w:rsidRDefault="00E458C1" w:rsidP="00E458C1">
      <w:pPr>
        <w:rPr>
          <w:sz w:val="24"/>
          <w:szCs w:val="24"/>
        </w:rPr>
      </w:pPr>
      <w:r w:rsidRPr="000F2F8C">
        <w:rPr>
          <w:sz w:val="24"/>
          <w:szCs w:val="24"/>
        </w:rPr>
        <w:t>Statsbidraget för hjälp med läxor eller annat skolarbete utanför ordinarie undervisningstid förstärks med 50 miljoner kronor för 2026.</w:t>
      </w:r>
    </w:p>
    <w:p w14:paraId="577BB7F0" w14:textId="77777777" w:rsidR="00E458C1" w:rsidRPr="000F2F8C" w:rsidRDefault="00E458C1" w:rsidP="00E458C1">
      <w:pPr>
        <w:rPr>
          <w:sz w:val="24"/>
          <w:szCs w:val="24"/>
        </w:rPr>
      </w:pPr>
      <w:r w:rsidRPr="000F2F8C">
        <w:rPr>
          <w:sz w:val="24"/>
          <w:szCs w:val="24"/>
        </w:rPr>
        <w:t>Statsbidraget för inköp av litteratur förstärks med 50 miljoner kronor för 2026.</w:t>
      </w:r>
    </w:p>
    <w:p w14:paraId="404C6979" w14:textId="77777777" w:rsidR="00E458C1" w:rsidRDefault="00E458C1" w:rsidP="00E458C1">
      <w:r>
        <w:t xml:space="preserve"> </w:t>
      </w:r>
    </w:p>
    <w:p w14:paraId="4E772764" w14:textId="77777777" w:rsidR="00E458C1" w:rsidRDefault="00E458C1" w:rsidP="00E458C1">
      <w:hyperlink r:id="rId7" w:history="1">
        <w:r w:rsidRPr="00B855B4">
          <w:rPr>
            <w:rStyle w:val="Hyperlnk"/>
          </w:rPr>
          <w:t>https://www.regeringen.se/pressmeddelanden/2026/04/regeringen-foreslar-spraksatsningar-i-skolan/</w:t>
        </w:r>
      </w:hyperlink>
    </w:p>
    <w:p w14:paraId="4C2EF866" w14:textId="77777777" w:rsidR="00E458C1" w:rsidRPr="000F2F8C" w:rsidRDefault="00E458C1" w:rsidP="00E458C1">
      <w:r w:rsidRPr="001D57E2">
        <w:t>https://www.regeringen.se/globalassets/regeringen/dokument/utbildningsdepartementet/vab-presstraff-2026-04-07-lassatsningar-och-civilingenjorsutb.pdf</w:t>
      </w:r>
    </w:p>
    <w:p w14:paraId="40FC4F6D" w14:textId="77777777" w:rsidR="00E458C1" w:rsidRDefault="00E458C1" w:rsidP="00E458C1">
      <w:hyperlink r:id="rId8" w:history="1">
        <w:r w:rsidRPr="00B855B4">
          <w:rPr>
            <w:rStyle w:val="Hyperlnk"/>
          </w:rPr>
          <w:t>https://www.regeringen.se/pressmeddelanden/2026/04/presstraff-om-satsningar-inom-utbildningsomradet/</w:t>
        </w:r>
      </w:hyperlink>
    </w:p>
    <w:p w14:paraId="3A36BD20" w14:textId="77777777" w:rsidR="00FC6D40" w:rsidRDefault="00FC6D40" w:rsidP="00FC6D40">
      <w:pPr>
        <w:pStyle w:val="Normalwebb"/>
        <w:spacing w:before="0" w:beforeAutospacing="0" w:after="0" w:afterAutospacing="0"/>
        <w:rPr>
          <w:color w:val="000000"/>
        </w:rPr>
      </w:pPr>
    </w:p>
    <w:p w14:paraId="41E87BAD" w14:textId="77777777" w:rsidR="00E458C1" w:rsidRPr="008A7D50" w:rsidRDefault="00E458C1" w:rsidP="00E458C1">
      <w:pPr>
        <w:rPr>
          <w:b/>
          <w:bCs/>
          <w:sz w:val="32"/>
          <w:szCs w:val="32"/>
        </w:rPr>
      </w:pPr>
      <w:r w:rsidRPr="008A7D50">
        <w:rPr>
          <w:b/>
          <w:bCs/>
          <w:sz w:val="32"/>
          <w:szCs w:val="32"/>
        </w:rPr>
        <w:t>Regeringen:</w:t>
      </w:r>
      <w:r>
        <w:rPr>
          <w:b/>
          <w:bCs/>
          <w:sz w:val="32"/>
          <w:szCs w:val="32"/>
        </w:rPr>
        <w:t xml:space="preserve"> </w:t>
      </w:r>
      <w:r w:rsidRPr="008A7D50">
        <w:rPr>
          <w:b/>
          <w:bCs/>
          <w:sz w:val="32"/>
          <w:szCs w:val="32"/>
        </w:rPr>
        <w:t>Skolverket får uppdrag om kulturkanon i skolan</w:t>
      </w:r>
    </w:p>
    <w:p w14:paraId="0EDD78D6" w14:textId="77777777" w:rsidR="00E458C1" w:rsidRDefault="00E458C1" w:rsidP="00E458C1">
      <w:pPr>
        <w:rPr>
          <w:sz w:val="24"/>
          <w:szCs w:val="24"/>
        </w:rPr>
      </w:pPr>
    </w:p>
    <w:p w14:paraId="5ABF0325" w14:textId="77777777" w:rsidR="00B825BE" w:rsidRDefault="00E458C1" w:rsidP="00E458C1">
      <w:pPr>
        <w:rPr>
          <w:sz w:val="24"/>
          <w:szCs w:val="24"/>
        </w:rPr>
      </w:pPr>
      <w:r w:rsidRPr="008A7D50">
        <w:rPr>
          <w:sz w:val="24"/>
          <w:szCs w:val="24"/>
        </w:rPr>
        <w:t>Regeringen ger Skolverket i uppdrag att föreslå hur kulturkanon kan införas i relevanta delar i styrdokumenten.</w:t>
      </w:r>
    </w:p>
    <w:p w14:paraId="2A30E987" w14:textId="143545AF" w:rsidR="00FE3166" w:rsidRDefault="00E458C1" w:rsidP="00E458C1">
      <w:pPr>
        <w:rPr>
          <w:sz w:val="24"/>
          <w:szCs w:val="24"/>
        </w:rPr>
      </w:pPr>
      <w:r w:rsidRPr="008A7D50">
        <w:rPr>
          <w:sz w:val="24"/>
          <w:szCs w:val="24"/>
        </w:rPr>
        <w:t xml:space="preserve"> </w:t>
      </w:r>
    </w:p>
    <w:p w14:paraId="61716D2D" w14:textId="13C5E6B8" w:rsidR="00E458C1" w:rsidRPr="008A7D50" w:rsidRDefault="00E458C1" w:rsidP="00E458C1">
      <w:pPr>
        <w:rPr>
          <w:sz w:val="24"/>
          <w:szCs w:val="24"/>
        </w:rPr>
      </w:pPr>
      <w:r w:rsidRPr="008A7D50">
        <w:rPr>
          <w:sz w:val="24"/>
          <w:szCs w:val="24"/>
        </w:rPr>
        <w:t>Skolverket ska också ta fram ett stöd för hur kulturkanon kan användas i utbildningen.</w:t>
      </w:r>
      <w:r>
        <w:rPr>
          <w:sz w:val="24"/>
          <w:szCs w:val="24"/>
        </w:rPr>
        <w:t xml:space="preserve"> </w:t>
      </w:r>
      <w:r>
        <w:rPr>
          <w:color w:val="0C0C0C"/>
          <w:sz w:val="24"/>
          <w:szCs w:val="24"/>
        </w:rPr>
        <w:t>U</w:t>
      </w:r>
      <w:r w:rsidRPr="008A7D50">
        <w:rPr>
          <w:color w:val="0C0C0C"/>
          <w:sz w:val="24"/>
          <w:szCs w:val="24"/>
        </w:rPr>
        <w:t xml:space="preserve">ppdraget </w:t>
      </w:r>
      <w:r>
        <w:rPr>
          <w:color w:val="0C0C0C"/>
          <w:sz w:val="24"/>
          <w:szCs w:val="24"/>
        </w:rPr>
        <w:t xml:space="preserve">ska redovisas </w:t>
      </w:r>
      <w:r w:rsidRPr="008A7D50">
        <w:rPr>
          <w:color w:val="0C0C0C"/>
          <w:sz w:val="24"/>
          <w:szCs w:val="24"/>
        </w:rPr>
        <w:t>senast den 31 maj 2027.</w:t>
      </w:r>
    </w:p>
    <w:p w14:paraId="57764378" w14:textId="77777777" w:rsidR="00E458C1" w:rsidRPr="008A7D50" w:rsidRDefault="00E458C1" w:rsidP="00E458C1">
      <w:pPr>
        <w:spacing w:before="100" w:beforeAutospacing="1" w:after="420"/>
        <w:rPr>
          <w:rFonts w:ascii="Helvetica" w:hAnsi="Helvetica"/>
          <w:color w:val="0C0C0C"/>
        </w:rPr>
      </w:pPr>
      <w:r w:rsidRPr="008A7D50">
        <w:rPr>
          <w:rFonts w:ascii="Helvetica" w:hAnsi="Helvetica"/>
          <w:color w:val="0C0C0C"/>
        </w:rPr>
        <w:t>https://www.regeringen.se/pressmeddelanden/2026/04/skolverket-far-uppdrag-om-kulturkanon-i-skolan/</w:t>
      </w:r>
    </w:p>
    <w:p w14:paraId="5A762FFD" w14:textId="77777777" w:rsidR="00E458C1" w:rsidRPr="001D57E2" w:rsidRDefault="00E458C1" w:rsidP="00E458C1">
      <w:pPr>
        <w:rPr>
          <w:b/>
          <w:bCs/>
          <w:sz w:val="32"/>
          <w:szCs w:val="32"/>
        </w:rPr>
      </w:pPr>
      <w:r w:rsidRPr="001D57E2">
        <w:rPr>
          <w:b/>
          <w:bCs/>
          <w:sz w:val="32"/>
          <w:szCs w:val="32"/>
        </w:rPr>
        <w:t>Regeringen presenterar en lässtrategi för Sverige</w:t>
      </w:r>
    </w:p>
    <w:p w14:paraId="031BEF08" w14:textId="77777777" w:rsidR="00E458C1" w:rsidRPr="001D57E2" w:rsidRDefault="00E458C1" w:rsidP="00E458C1">
      <w:pPr>
        <w:rPr>
          <w:sz w:val="24"/>
          <w:szCs w:val="24"/>
        </w:rPr>
      </w:pPr>
      <w:r w:rsidRPr="001D57E2">
        <w:rPr>
          <w:sz w:val="24"/>
          <w:szCs w:val="24"/>
        </w:rPr>
        <w:t xml:space="preserve"> </w:t>
      </w:r>
    </w:p>
    <w:p w14:paraId="61ADAB85" w14:textId="77777777" w:rsidR="00E458C1" w:rsidRDefault="00E458C1" w:rsidP="00E458C1">
      <w:pPr>
        <w:rPr>
          <w:sz w:val="24"/>
          <w:szCs w:val="24"/>
        </w:rPr>
      </w:pPr>
      <w:r w:rsidRPr="001D57E2">
        <w:rPr>
          <w:sz w:val="24"/>
          <w:szCs w:val="24"/>
        </w:rPr>
        <w:t>Regeringen har prese</w:t>
      </w:r>
      <w:r>
        <w:rPr>
          <w:sz w:val="24"/>
          <w:szCs w:val="24"/>
        </w:rPr>
        <w:t>n</w:t>
      </w:r>
      <w:r w:rsidRPr="001D57E2">
        <w:rPr>
          <w:sz w:val="24"/>
          <w:szCs w:val="24"/>
        </w:rPr>
        <w:t>terat en femårig lässtrategi för Sverige. Syftet med strategin är att peka ut en riktning framåt för regeringens fortsatta arbete med att stärka läsförmågan i Sverige. I strategin redogör regeringen för sina insatser på området och för de samhällsförändringar och utmaningar Sverige står inför.</w:t>
      </w:r>
    </w:p>
    <w:p w14:paraId="5E99EE33" w14:textId="77777777" w:rsidR="00E458C1" w:rsidRDefault="00E458C1" w:rsidP="00E458C1">
      <w:pPr>
        <w:rPr>
          <w:sz w:val="24"/>
          <w:szCs w:val="24"/>
        </w:rPr>
      </w:pPr>
    </w:p>
    <w:p w14:paraId="5254060C" w14:textId="77777777" w:rsidR="00E458C1" w:rsidRDefault="00E458C1" w:rsidP="00E458C1">
      <w:pPr>
        <w:rPr>
          <w:sz w:val="24"/>
          <w:szCs w:val="24"/>
        </w:rPr>
      </w:pPr>
      <w:r w:rsidRPr="001D57E2">
        <w:rPr>
          <w:sz w:val="24"/>
          <w:szCs w:val="24"/>
        </w:rPr>
        <w:t>Regeringen har också presenterat ett uppdrag till Mediemyndigheten att utifrån befintlig kunskap sammanställa och sprida information om betydelsen av, och sambandet mellan, läsförmåga och medie- och informationskunnighet för att stärka samhällets motståndskraft mot bland annat desinformation och otillbörlig informationspåverkan.</w:t>
      </w:r>
    </w:p>
    <w:p w14:paraId="7C78ED4C" w14:textId="77777777" w:rsidR="00E458C1" w:rsidRPr="001D57E2" w:rsidRDefault="00E458C1" w:rsidP="00E458C1">
      <w:pPr>
        <w:rPr>
          <w:sz w:val="24"/>
          <w:szCs w:val="24"/>
        </w:rPr>
      </w:pPr>
    </w:p>
    <w:p w14:paraId="46346EE0" w14:textId="77777777" w:rsidR="00E458C1" w:rsidRDefault="00E458C1" w:rsidP="00E458C1">
      <w:hyperlink r:id="rId9" w:history="1">
        <w:r w:rsidRPr="00B855B4">
          <w:rPr>
            <w:rStyle w:val="Hyperlnk"/>
          </w:rPr>
          <w:t>https://www.regeringen.se/pressmeddelanden/2026/04/regeringen-presenterar-en-lasstrategi-for-sverige2/</w:t>
        </w:r>
      </w:hyperlink>
    </w:p>
    <w:p w14:paraId="648E615D" w14:textId="77777777" w:rsidR="00E458C1" w:rsidRDefault="00E458C1" w:rsidP="00E458C1">
      <w:r w:rsidRPr="001D57E2">
        <w:t>https://www.regeringen.se/globalassets/regeringen/dokument/kulturdepartementet/presentationsbilder-fran-presstraffar/presentationsbilder-fran-presstraff-den-23-april-2026-om-lasstrategi.pdf</w:t>
      </w:r>
    </w:p>
    <w:p w14:paraId="453A0C65" w14:textId="77777777" w:rsidR="00E458C1" w:rsidRDefault="00E458C1" w:rsidP="00E458C1"/>
    <w:p w14:paraId="0FBBCE4E" w14:textId="77777777" w:rsidR="00872AD5" w:rsidRDefault="00872AD5" w:rsidP="00E458C1">
      <w:pPr>
        <w:rPr>
          <w:b/>
          <w:bCs/>
          <w:sz w:val="32"/>
          <w:szCs w:val="32"/>
        </w:rPr>
      </w:pPr>
    </w:p>
    <w:p w14:paraId="2E888609" w14:textId="0D4E4BBA" w:rsidR="00E458C1" w:rsidRPr="00D17FF6" w:rsidRDefault="00E458C1" w:rsidP="00E458C1">
      <w:pPr>
        <w:rPr>
          <w:b/>
          <w:bCs/>
          <w:sz w:val="32"/>
          <w:szCs w:val="32"/>
        </w:rPr>
      </w:pPr>
      <w:r w:rsidRPr="00D17FF6">
        <w:rPr>
          <w:b/>
          <w:bCs/>
          <w:sz w:val="32"/>
          <w:szCs w:val="32"/>
        </w:rPr>
        <w:lastRenderedPageBreak/>
        <w:t xml:space="preserve">Skolverket: Prao och </w:t>
      </w:r>
      <w:proofErr w:type="spellStart"/>
      <w:r w:rsidRPr="00D17FF6">
        <w:rPr>
          <w:b/>
          <w:bCs/>
          <w:sz w:val="32"/>
          <w:szCs w:val="32"/>
        </w:rPr>
        <w:t>sao</w:t>
      </w:r>
      <w:proofErr w:type="spellEnd"/>
      <w:r w:rsidRPr="00D17FF6">
        <w:rPr>
          <w:b/>
          <w:bCs/>
          <w:sz w:val="32"/>
          <w:szCs w:val="32"/>
        </w:rPr>
        <w:t>-jobb i grundskolan</w:t>
      </w:r>
    </w:p>
    <w:p w14:paraId="468AC22A" w14:textId="77777777" w:rsidR="00E458C1" w:rsidRDefault="00E458C1" w:rsidP="00E458C1">
      <w:pPr>
        <w:rPr>
          <w:sz w:val="24"/>
          <w:szCs w:val="24"/>
        </w:rPr>
      </w:pPr>
    </w:p>
    <w:p w14:paraId="54479641" w14:textId="77777777" w:rsidR="00E458C1" w:rsidRPr="00D17FF6" w:rsidRDefault="00E458C1" w:rsidP="00E458C1">
      <w:pPr>
        <w:rPr>
          <w:sz w:val="24"/>
          <w:szCs w:val="24"/>
        </w:rPr>
      </w:pPr>
      <w:r w:rsidRPr="00D17FF6">
        <w:rPr>
          <w:sz w:val="24"/>
          <w:szCs w:val="24"/>
        </w:rPr>
        <w:t>Sao-jobb som står för studiemotiverande arbetslivsorientering är en anställningsform där skolhuvudmän kan välja att erbjuda elever i högstadiet att få ett extrajobb under ett år inom ramen för undervisningstiden. Det innebär att elever erbjuds två timmars betalt arbete per vecka under ett års tid som ett sätt att genomföra prao.</w:t>
      </w:r>
    </w:p>
    <w:p w14:paraId="595C2303" w14:textId="77777777" w:rsidR="00E458C1" w:rsidRDefault="00E458C1" w:rsidP="00E458C1">
      <w:pPr>
        <w:rPr>
          <w:sz w:val="24"/>
          <w:szCs w:val="24"/>
        </w:rPr>
      </w:pPr>
    </w:p>
    <w:p w14:paraId="3EB81D68" w14:textId="77777777" w:rsidR="00E458C1" w:rsidRPr="00D17FF6" w:rsidRDefault="00E458C1" w:rsidP="00E458C1">
      <w:pPr>
        <w:rPr>
          <w:sz w:val="24"/>
          <w:szCs w:val="24"/>
        </w:rPr>
      </w:pPr>
      <w:r w:rsidRPr="00D17FF6">
        <w:rPr>
          <w:sz w:val="24"/>
          <w:szCs w:val="24"/>
        </w:rPr>
        <w:t xml:space="preserve">Skolverket har gjort en bedömning av hur </w:t>
      </w:r>
      <w:proofErr w:type="spellStart"/>
      <w:r w:rsidRPr="00D17FF6">
        <w:rPr>
          <w:sz w:val="24"/>
          <w:szCs w:val="24"/>
        </w:rPr>
        <w:t>sao</w:t>
      </w:r>
      <w:proofErr w:type="spellEnd"/>
      <w:r w:rsidRPr="00D17FF6">
        <w:rPr>
          <w:sz w:val="24"/>
          <w:szCs w:val="24"/>
        </w:rPr>
        <w:t>-jobben förhåller sig till skollagens regelverk om prao.</w:t>
      </w:r>
    </w:p>
    <w:p w14:paraId="384CE72A" w14:textId="77777777" w:rsidR="00E458C1" w:rsidRDefault="00E458C1" w:rsidP="00E458C1">
      <w:pPr>
        <w:rPr>
          <w:sz w:val="24"/>
          <w:szCs w:val="24"/>
        </w:rPr>
      </w:pPr>
      <w:r w:rsidRPr="00D17FF6">
        <w:rPr>
          <w:sz w:val="24"/>
          <w:szCs w:val="24"/>
        </w:rPr>
        <w:t xml:space="preserve">”I avsaknad av ett uttryckligt förbud i skollagen kan huvudmannens ansvar att anordna prao fullgöras genom en villkorad anställning i enlighet med modellen för </w:t>
      </w:r>
      <w:proofErr w:type="spellStart"/>
      <w:r w:rsidRPr="00D17FF6">
        <w:rPr>
          <w:sz w:val="24"/>
          <w:szCs w:val="24"/>
        </w:rPr>
        <w:t>sao</w:t>
      </w:r>
      <w:proofErr w:type="spellEnd"/>
      <w:r w:rsidRPr="00D17FF6">
        <w:rPr>
          <w:sz w:val="24"/>
          <w:szCs w:val="24"/>
        </w:rPr>
        <w:t>-jobb.</w:t>
      </w:r>
      <w:r w:rsidRPr="00D17FF6">
        <w:rPr>
          <w:sz w:val="24"/>
          <w:szCs w:val="24"/>
        </w:rPr>
        <w:br/>
        <w:t xml:space="preserve">En elev som av olika skäl inte är aktuell för ett </w:t>
      </w:r>
      <w:proofErr w:type="spellStart"/>
      <w:r w:rsidRPr="00D17FF6">
        <w:rPr>
          <w:sz w:val="24"/>
          <w:szCs w:val="24"/>
        </w:rPr>
        <w:t>sao</w:t>
      </w:r>
      <w:proofErr w:type="spellEnd"/>
      <w:r w:rsidRPr="00D17FF6">
        <w:rPr>
          <w:sz w:val="24"/>
          <w:szCs w:val="24"/>
        </w:rPr>
        <w:t>-jobb eller inte kan fullfölja sin anställning måste få möjlighet att fullgöra sin prao i enlighet med 10 kap 8 a § skollagen."</w:t>
      </w:r>
    </w:p>
    <w:p w14:paraId="794CFB90" w14:textId="77777777" w:rsidR="00E458C1" w:rsidRPr="00D17FF6" w:rsidRDefault="00E458C1" w:rsidP="00E458C1">
      <w:pPr>
        <w:rPr>
          <w:sz w:val="24"/>
          <w:szCs w:val="24"/>
        </w:rPr>
      </w:pPr>
    </w:p>
    <w:p w14:paraId="195BC431" w14:textId="77777777" w:rsidR="00E458C1" w:rsidRDefault="00E458C1" w:rsidP="00E458C1">
      <w:pPr>
        <w:textAlignment w:val="baseline"/>
        <w:rPr>
          <w:rFonts w:ascii="inherit" w:hAnsi="inherit"/>
        </w:rPr>
      </w:pPr>
      <w:r w:rsidRPr="00A76BB9">
        <w:rPr>
          <w:rFonts w:ascii="inherit" w:hAnsi="inherit"/>
        </w:rPr>
        <w:t>https://www.skolverket.se/om-skolverket/nyheter-och-pressmeddelanden/nyheter/nyheter/2026-04-17-prao-och-sao-jobb-i-grundskolan</w:t>
      </w:r>
    </w:p>
    <w:p w14:paraId="522F3C88" w14:textId="77777777" w:rsidR="00E458C1" w:rsidRDefault="00E458C1" w:rsidP="00E458C1">
      <w:pPr>
        <w:rPr>
          <w:b/>
          <w:bCs/>
          <w:sz w:val="32"/>
          <w:szCs w:val="32"/>
        </w:rPr>
      </w:pPr>
    </w:p>
    <w:p w14:paraId="7931FF26" w14:textId="77777777" w:rsidR="00E458C1" w:rsidRPr="00D17FF6" w:rsidRDefault="00E458C1" w:rsidP="00E458C1">
      <w:pPr>
        <w:rPr>
          <w:b/>
          <w:bCs/>
          <w:sz w:val="32"/>
          <w:szCs w:val="32"/>
        </w:rPr>
      </w:pPr>
      <w:r w:rsidRPr="00D17FF6">
        <w:rPr>
          <w:b/>
          <w:bCs/>
          <w:sz w:val="32"/>
          <w:szCs w:val="32"/>
        </w:rPr>
        <w:t xml:space="preserve">Skolverket: </w:t>
      </w:r>
      <w:r>
        <w:rPr>
          <w:b/>
          <w:bCs/>
          <w:sz w:val="32"/>
          <w:szCs w:val="32"/>
        </w:rPr>
        <w:t>Färre</w:t>
      </w:r>
      <w:r w:rsidRPr="00D17FF6">
        <w:rPr>
          <w:b/>
          <w:bCs/>
          <w:sz w:val="32"/>
          <w:szCs w:val="32"/>
        </w:rPr>
        <w:t xml:space="preserve"> barn i förskolan </w:t>
      </w:r>
    </w:p>
    <w:p w14:paraId="0E165B87" w14:textId="77777777" w:rsidR="00E458C1" w:rsidRDefault="00E458C1" w:rsidP="00E458C1">
      <w:pPr>
        <w:rPr>
          <w:sz w:val="24"/>
          <w:szCs w:val="24"/>
        </w:rPr>
      </w:pPr>
    </w:p>
    <w:p w14:paraId="0AC2144D" w14:textId="77777777" w:rsidR="00E458C1" w:rsidRDefault="00E458C1" w:rsidP="00E458C1">
      <w:pPr>
        <w:rPr>
          <w:sz w:val="24"/>
          <w:szCs w:val="24"/>
        </w:rPr>
      </w:pPr>
      <w:r w:rsidRPr="00D17FF6">
        <w:rPr>
          <w:sz w:val="24"/>
          <w:szCs w:val="24"/>
        </w:rPr>
        <w:t>Det minskade barnafödandet i Sverige märks i förskolan. Antalet inskrivna barn fortsätter att sjunka, samtidigt som andelen barn som går i förskola i stort sett är oförändrad.</w:t>
      </w:r>
    </w:p>
    <w:p w14:paraId="529181AC" w14:textId="77777777" w:rsidR="00E458C1" w:rsidRPr="00D17FF6" w:rsidRDefault="00E458C1" w:rsidP="00E458C1">
      <w:pPr>
        <w:rPr>
          <w:sz w:val="24"/>
          <w:szCs w:val="24"/>
        </w:rPr>
      </w:pPr>
    </w:p>
    <w:p w14:paraId="33288A10" w14:textId="77777777" w:rsidR="00E458C1" w:rsidRPr="00D17FF6" w:rsidRDefault="00E458C1" w:rsidP="00E458C1">
      <w:pPr>
        <w:pStyle w:val="Liststycke"/>
        <w:numPr>
          <w:ilvl w:val="0"/>
          <w:numId w:val="17"/>
        </w:numPr>
        <w:rPr>
          <w:sz w:val="24"/>
          <w:szCs w:val="24"/>
        </w:rPr>
      </w:pPr>
      <w:r w:rsidRPr="00D17FF6">
        <w:rPr>
          <w:sz w:val="24"/>
          <w:szCs w:val="24"/>
        </w:rPr>
        <w:t xml:space="preserve">”År 2025 är drygt 468 000 barn inskrivna i förskolan vilket är en minskning med 3,4 procent jämfört med 2024. </w:t>
      </w:r>
    </w:p>
    <w:p w14:paraId="354554D7" w14:textId="77777777" w:rsidR="00E458C1" w:rsidRPr="00D92B8C" w:rsidRDefault="00E458C1" w:rsidP="00E458C1">
      <w:pPr>
        <w:pStyle w:val="Liststycke"/>
        <w:numPr>
          <w:ilvl w:val="0"/>
          <w:numId w:val="17"/>
        </w:numPr>
        <w:rPr>
          <w:sz w:val="24"/>
          <w:szCs w:val="24"/>
        </w:rPr>
      </w:pPr>
      <w:r w:rsidRPr="00D17FF6">
        <w:rPr>
          <w:sz w:val="24"/>
          <w:szCs w:val="24"/>
        </w:rPr>
        <w:t>Andelen inskrivna barn av befolkningen är ungefär på samma nivå som föregående år. Drygt 86 procent av landets alla barn i åldern ett till fem år är inskrivna i förskola.</w:t>
      </w:r>
    </w:p>
    <w:p w14:paraId="3FD48B74" w14:textId="77777777" w:rsidR="00E458C1" w:rsidRPr="00D92B8C" w:rsidRDefault="00E458C1" w:rsidP="00E458C1">
      <w:pPr>
        <w:pStyle w:val="Liststycke"/>
        <w:numPr>
          <w:ilvl w:val="0"/>
          <w:numId w:val="17"/>
        </w:numPr>
        <w:rPr>
          <w:sz w:val="24"/>
          <w:szCs w:val="24"/>
        </w:rPr>
      </w:pPr>
      <w:r w:rsidRPr="00D17FF6">
        <w:rPr>
          <w:sz w:val="24"/>
          <w:szCs w:val="24"/>
        </w:rPr>
        <w:t xml:space="preserve">Det finns inskrivna barn på 8 540 </w:t>
      </w:r>
      <w:proofErr w:type="spellStart"/>
      <w:r w:rsidRPr="00D17FF6">
        <w:rPr>
          <w:sz w:val="24"/>
          <w:szCs w:val="24"/>
        </w:rPr>
        <w:t>förskoleenheter</w:t>
      </w:r>
      <w:proofErr w:type="spellEnd"/>
      <w:r w:rsidRPr="00D17FF6">
        <w:rPr>
          <w:sz w:val="24"/>
          <w:szCs w:val="24"/>
        </w:rPr>
        <w:t xml:space="preserve"> varav sju av tio drivs av en kommunal huvudman.</w:t>
      </w:r>
    </w:p>
    <w:p w14:paraId="57F6C8B1" w14:textId="77777777" w:rsidR="00E458C1" w:rsidRPr="00D92B8C" w:rsidRDefault="00E458C1" w:rsidP="00E458C1">
      <w:pPr>
        <w:pStyle w:val="Liststycke"/>
        <w:numPr>
          <w:ilvl w:val="0"/>
          <w:numId w:val="17"/>
        </w:numPr>
        <w:rPr>
          <w:sz w:val="24"/>
          <w:szCs w:val="24"/>
        </w:rPr>
      </w:pPr>
      <w:r w:rsidRPr="00D17FF6">
        <w:rPr>
          <w:sz w:val="24"/>
          <w:szCs w:val="24"/>
        </w:rPr>
        <w:t>I likhet med de senaste åren går det 5,1 barn per heltidstjänst i förskolan.</w:t>
      </w:r>
    </w:p>
    <w:p w14:paraId="317E0931" w14:textId="77777777" w:rsidR="00E458C1" w:rsidRPr="00D92B8C" w:rsidRDefault="00E458C1" w:rsidP="00E458C1">
      <w:pPr>
        <w:pStyle w:val="Liststycke"/>
        <w:numPr>
          <w:ilvl w:val="0"/>
          <w:numId w:val="17"/>
        </w:numPr>
        <w:rPr>
          <w:sz w:val="24"/>
          <w:szCs w:val="24"/>
        </w:rPr>
      </w:pPr>
      <w:r w:rsidRPr="00D17FF6">
        <w:rPr>
          <w:sz w:val="24"/>
          <w:szCs w:val="24"/>
        </w:rPr>
        <w:t>Av alla anställda som arbetar med barn i förskolan, räknat i heltidstjänster, har knappt 43 procent en förskollärarexamen. Det är en ökning med 2,0 procentenheter jämfört med föregående år.</w:t>
      </w:r>
    </w:p>
    <w:p w14:paraId="4B335CF0" w14:textId="77777777" w:rsidR="00E458C1" w:rsidRPr="00D17FF6" w:rsidRDefault="00E458C1" w:rsidP="00E458C1">
      <w:pPr>
        <w:pStyle w:val="Liststycke"/>
        <w:numPr>
          <w:ilvl w:val="0"/>
          <w:numId w:val="17"/>
        </w:numPr>
        <w:rPr>
          <w:sz w:val="24"/>
          <w:szCs w:val="24"/>
        </w:rPr>
      </w:pPr>
      <w:r w:rsidRPr="00D17FF6">
        <w:rPr>
          <w:sz w:val="24"/>
          <w:szCs w:val="24"/>
        </w:rPr>
        <w:t>År 2025 går det i genomsnitt 15,3 barn i varje barngrupp i förskolan, vilket är oförändrat jämfört med hösten 2024.”</w:t>
      </w:r>
    </w:p>
    <w:p w14:paraId="0C814F9D" w14:textId="77777777" w:rsidR="00E458C1" w:rsidRPr="00D92B8C" w:rsidRDefault="00E458C1" w:rsidP="00E458C1">
      <w:pPr>
        <w:pStyle w:val="Normal1"/>
        <w:spacing w:before="0" w:after="0"/>
        <w:textAlignment w:val="baseline"/>
        <w:rPr>
          <w:rFonts w:ascii="Source Sans Pro" w:hAnsi="Source Sans Pro"/>
          <w:color w:val="262626"/>
          <w:sz w:val="20"/>
          <w:szCs w:val="20"/>
        </w:rPr>
      </w:pPr>
      <w:hyperlink r:id="rId10" w:history="1">
        <w:r w:rsidRPr="00D92B8C">
          <w:rPr>
            <w:rStyle w:val="Hyperlnk"/>
            <w:rFonts w:ascii="inherit" w:hAnsi="inherit"/>
            <w:color w:val="005C93"/>
            <w:sz w:val="20"/>
            <w:szCs w:val="20"/>
            <w:bdr w:val="none" w:sz="0" w:space="0" w:color="auto" w:frame="1"/>
          </w:rPr>
          <w:t>PM – Barn och personal i förskola 2025</w:t>
        </w:r>
      </w:hyperlink>
    </w:p>
    <w:p w14:paraId="57D7E724" w14:textId="77777777" w:rsidR="00E458C1" w:rsidRPr="00D92B8C" w:rsidRDefault="00E458C1" w:rsidP="00E458C1">
      <w:pPr>
        <w:textAlignment w:val="baseline"/>
        <w:rPr>
          <w:rFonts w:ascii="inherit" w:hAnsi="inherit"/>
        </w:rPr>
      </w:pPr>
      <w:hyperlink r:id="rId11" w:history="1">
        <w:r w:rsidRPr="00D92B8C">
          <w:rPr>
            <w:rStyle w:val="Hyperlnk"/>
          </w:rPr>
          <w:t>https://www.skolverket.se/om-skolverket/nyheter-och-pressmeddelanden/nyheter/nyheter/2026-04-16-antalet-inskrivna-barn-i-forskolan-fortsatter-att-minska</w:t>
        </w:r>
      </w:hyperlink>
    </w:p>
    <w:p w14:paraId="3526DA11" w14:textId="77777777" w:rsidR="00E458C1" w:rsidRDefault="00E458C1" w:rsidP="00E458C1"/>
    <w:p w14:paraId="60675827" w14:textId="77777777" w:rsidR="00E458C1" w:rsidRPr="00D92B8C" w:rsidRDefault="00E458C1" w:rsidP="00E458C1">
      <w:pPr>
        <w:rPr>
          <w:b/>
          <w:bCs/>
          <w:sz w:val="32"/>
          <w:szCs w:val="32"/>
        </w:rPr>
      </w:pPr>
      <w:r w:rsidRPr="00D92B8C">
        <w:rPr>
          <w:b/>
          <w:bCs/>
          <w:sz w:val="32"/>
          <w:szCs w:val="32"/>
        </w:rPr>
        <w:t>Skolverket: Lärarbehörigheten ökar</w:t>
      </w:r>
    </w:p>
    <w:p w14:paraId="77ADA98E" w14:textId="77777777" w:rsidR="00E458C1" w:rsidRDefault="00E458C1" w:rsidP="00E458C1">
      <w:pPr>
        <w:rPr>
          <w:sz w:val="24"/>
          <w:szCs w:val="24"/>
        </w:rPr>
      </w:pPr>
    </w:p>
    <w:p w14:paraId="5C4EA12C" w14:textId="77777777" w:rsidR="00E458C1" w:rsidRPr="00D92B8C" w:rsidRDefault="00E458C1" w:rsidP="00E458C1">
      <w:pPr>
        <w:rPr>
          <w:sz w:val="24"/>
          <w:szCs w:val="24"/>
        </w:rPr>
      </w:pPr>
      <w:r w:rsidRPr="00D92B8C">
        <w:rPr>
          <w:sz w:val="24"/>
          <w:szCs w:val="24"/>
        </w:rPr>
        <w:t>Skolverkets statistik om pedagogisk personal i skola och vuxenutbildning</w:t>
      </w:r>
      <w:r>
        <w:rPr>
          <w:sz w:val="24"/>
          <w:szCs w:val="24"/>
        </w:rPr>
        <w:t xml:space="preserve"> visar att andelen behöriga lärare ökar</w:t>
      </w:r>
      <w:r w:rsidRPr="00D92B8C">
        <w:rPr>
          <w:sz w:val="24"/>
          <w:szCs w:val="24"/>
        </w:rPr>
        <w:t>.</w:t>
      </w:r>
    </w:p>
    <w:p w14:paraId="4F8A0719" w14:textId="77777777" w:rsidR="00E458C1" w:rsidRDefault="00E458C1" w:rsidP="00E458C1">
      <w:pPr>
        <w:rPr>
          <w:sz w:val="24"/>
          <w:szCs w:val="24"/>
        </w:rPr>
      </w:pPr>
    </w:p>
    <w:p w14:paraId="7D3F3C6B" w14:textId="77777777" w:rsidR="00E458C1" w:rsidRPr="00D92B8C" w:rsidRDefault="00E458C1" w:rsidP="00E458C1">
      <w:pPr>
        <w:pStyle w:val="Liststycke"/>
        <w:numPr>
          <w:ilvl w:val="0"/>
          <w:numId w:val="18"/>
        </w:numPr>
        <w:rPr>
          <w:sz w:val="24"/>
          <w:szCs w:val="24"/>
        </w:rPr>
      </w:pPr>
      <w:r w:rsidRPr="00D92B8C">
        <w:rPr>
          <w:sz w:val="24"/>
          <w:szCs w:val="24"/>
        </w:rPr>
        <w:lastRenderedPageBreak/>
        <w:t>I grundskolan är andelen behöriga lärare drygt 73 procent läsåret 2025/26. Behörigheten har ökat över tid och är 2,3 procentenheter högre jämfört med tre år tillbaka.</w:t>
      </w:r>
    </w:p>
    <w:p w14:paraId="7DFDDC1D" w14:textId="77777777" w:rsidR="00E458C1" w:rsidRDefault="00E458C1" w:rsidP="00E458C1">
      <w:pPr>
        <w:rPr>
          <w:sz w:val="24"/>
          <w:szCs w:val="24"/>
        </w:rPr>
      </w:pPr>
    </w:p>
    <w:p w14:paraId="0EF23F7F" w14:textId="77777777" w:rsidR="00E458C1" w:rsidRPr="00D92B8C" w:rsidRDefault="00E458C1" w:rsidP="00E458C1">
      <w:pPr>
        <w:pStyle w:val="Liststycke"/>
        <w:numPr>
          <w:ilvl w:val="0"/>
          <w:numId w:val="18"/>
        </w:numPr>
        <w:rPr>
          <w:sz w:val="24"/>
          <w:szCs w:val="24"/>
        </w:rPr>
      </w:pPr>
      <w:r w:rsidRPr="00D92B8C">
        <w:rPr>
          <w:sz w:val="24"/>
          <w:szCs w:val="24"/>
        </w:rPr>
        <w:t>Lärarbehörigheten är högre i kommunala grundskolor, drygt 74 procent, jämfört med fristående grundskolor, drygt 68 procent. Sett över tid har skillnaden minskat mellan andelen behöriga lärare hos kommunala och enskilda huvudmän.</w:t>
      </w:r>
    </w:p>
    <w:p w14:paraId="7E7AA175" w14:textId="77777777" w:rsidR="00E458C1" w:rsidRPr="00D92B8C" w:rsidRDefault="00E458C1" w:rsidP="00E458C1">
      <w:pPr>
        <w:rPr>
          <w:sz w:val="24"/>
          <w:szCs w:val="24"/>
        </w:rPr>
      </w:pPr>
    </w:p>
    <w:p w14:paraId="4190F9CB" w14:textId="77777777" w:rsidR="00E458C1" w:rsidRPr="00D92B8C" w:rsidRDefault="00E458C1" w:rsidP="00E458C1">
      <w:pPr>
        <w:pStyle w:val="Liststycke"/>
        <w:numPr>
          <w:ilvl w:val="0"/>
          <w:numId w:val="18"/>
        </w:numPr>
        <w:rPr>
          <w:sz w:val="24"/>
          <w:szCs w:val="24"/>
        </w:rPr>
      </w:pPr>
      <w:r w:rsidRPr="00D92B8C">
        <w:rPr>
          <w:sz w:val="24"/>
          <w:szCs w:val="24"/>
        </w:rPr>
        <w:t xml:space="preserve">I gymnasieskolan är andelen behöriga lärare drygt 82 procent, vilket är en viss ökning sedan föregående år. </w:t>
      </w:r>
    </w:p>
    <w:p w14:paraId="71CBB6FC" w14:textId="77777777" w:rsidR="00E458C1" w:rsidRPr="00D92B8C" w:rsidRDefault="00E458C1" w:rsidP="00E458C1">
      <w:pPr>
        <w:pStyle w:val="Liststycke"/>
        <w:numPr>
          <w:ilvl w:val="0"/>
          <w:numId w:val="18"/>
        </w:numPr>
        <w:rPr>
          <w:sz w:val="24"/>
          <w:szCs w:val="24"/>
        </w:rPr>
      </w:pPr>
      <w:r w:rsidRPr="00D92B8C">
        <w:rPr>
          <w:sz w:val="24"/>
          <w:szCs w:val="24"/>
        </w:rPr>
        <w:t>I kommunala gymnasieskolor är 83 procent av lärarna behöriga, jämfört med drygt 80 procent av lärarna i skolor med enskild huvudman.</w:t>
      </w:r>
    </w:p>
    <w:p w14:paraId="2F37E45F" w14:textId="77777777" w:rsidR="00E458C1" w:rsidRPr="00D92B8C" w:rsidRDefault="00E458C1" w:rsidP="00E458C1">
      <w:pPr>
        <w:rPr>
          <w:sz w:val="24"/>
          <w:szCs w:val="24"/>
        </w:rPr>
      </w:pPr>
    </w:p>
    <w:p w14:paraId="0E40F00C" w14:textId="77777777" w:rsidR="00E458C1" w:rsidRPr="00D92B8C" w:rsidRDefault="00E458C1" w:rsidP="00E458C1">
      <w:pPr>
        <w:pStyle w:val="Liststycke"/>
        <w:numPr>
          <w:ilvl w:val="0"/>
          <w:numId w:val="18"/>
        </w:numPr>
        <w:rPr>
          <w:sz w:val="24"/>
          <w:szCs w:val="24"/>
        </w:rPr>
      </w:pPr>
      <w:r w:rsidRPr="00D92B8C">
        <w:rPr>
          <w:sz w:val="24"/>
          <w:szCs w:val="24"/>
        </w:rPr>
        <w:t>I den anpassade grund- och gymnasieskolan är andelen lärare fortsatt låg; 14 procent respektive 17 procent.</w:t>
      </w:r>
    </w:p>
    <w:p w14:paraId="6C45C689" w14:textId="77777777" w:rsidR="00E458C1" w:rsidRPr="00D92B8C" w:rsidRDefault="00E458C1" w:rsidP="00E458C1">
      <w:pPr>
        <w:rPr>
          <w:sz w:val="24"/>
          <w:szCs w:val="24"/>
        </w:rPr>
      </w:pPr>
    </w:p>
    <w:p w14:paraId="4BDE6F3A" w14:textId="77777777" w:rsidR="00E458C1" w:rsidRPr="00D92B8C" w:rsidRDefault="00E458C1" w:rsidP="00E458C1">
      <w:pPr>
        <w:pStyle w:val="Liststycke"/>
        <w:numPr>
          <w:ilvl w:val="0"/>
          <w:numId w:val="18"/>
        </w:numPr>
        <w:rPr>
          <w:sz w:val="24"/>
          <w:szCs w:val="24"/>
        </w:rPr>
      </w:pPr>
      <w:r w:rsidRPr="00D92B8C">
        <w:rPr>
          <w:sz w:val="24"/>
          <w:szCs w:val="24"/>
        </w:rPr>
        <w:t>Förskoleklassen har högst andel behöriga lärare och förskollärare, 87 procent.</w:t>
      </w:r>
    </w:p>
    <w:p w14:paraId="2F5DEED8" w14:textId="77777777" w:rsidR="00E458C1" w:rsidRPr="00D92B8C" w:rsidRDefault="00E458C1" w:rsidP="00E458C1">
      <w:pPr>
        <w:rPr>
          <w:sz w:val="24"/>
          <w:szCs w:val="24"/>
        </w:rPr>
      </w:pPr>
    </w:p>
    <w:p w14:paraId="41A0A817" w14:textId="77777777" w:rsidR="00E458C1" w:rsidRPr="00D92B8C" w:rsidRDefault="00E458C1" w:rsidP="00E458C1">
      <w:pPr>
        <w:pStyle w:val="Liststycke"/>
        <w:numPr>
          <w:ilvl w:val="0"/>
          <w:numId w:val="18"/>
        </w:numPr>
        <w:rPr>
          <w:sz w:val="24"/>
          <w:szCs w:val="24"/>
        </w:rPr>
      </w:pPr>
      <w:r w:rsidRPr="00D92B8C">
        <w:rPr>
          <w:sz w:val="24"/>
          <w:szCs w:val="24"/>
        </w:rPr>
        <w:t>Högst andel behöriga lärare i grundskolan finns det i ämnena svenska, matematik, idrott och hälsa samt franska.</w:t>
      </w:r>
    </w:p>
    <w:p w14:paraId="4B5D491B" w14:textId="77777777" w:rsidR="00E458C1" w:rsidRPr="00D92B8C" w:rsidRDefault="00E458C1" w:rsidP="00E458C1">
      <w:pPr>
        <w:rPr>
          <w:sz w:val="24"/>
          <w:szCs w:val="24"/>
        </w:rPr>
      </w:pPr>
    </w:p>
    <w:p w14:paraId="54CA66FA" w14:textId="77777777" w:rsidR="00E458C1" w:rsidRPr="00D92B8C" w:rsidRDefault="00E458C1" w:rsidP="00E458C1">
      <w:pPr>
        <w:pStyle w:val="Liststycke"/>
        <w:numPr>
          <w:ilvl w:val="0"/>
          <w:numId w:val="18"/>
        </w:numPr>
        <w:rPr>
          <w:sz w:val="24"/>
          <w:szCs w:val="24"/>
        </w:rPr>
      </w:pPr>
      <w:r w:rsidRPr="00D92B8C">
        <w:rPr>
          <w:sz w:val="24"/>
          <w:szCs w:val="24"/>
        </w:rPr>
        <w:t>Lägst andel är det i ämnena svenska som andraspråk och teknik.</w:t>
      </w:r>
    </w:p>
    <w:p w14:paraId="73DD5A50" w14:textId="77777777" w:rsidR="00E458C1" w:rsidRPr="00D92B8C" w:rsidRDefault="00E458C1" w:rsidP="00E458C1">
      <w:pPr>
        <w:rPr>
          <w:sz w:val="24"/>
          <w:szCs w:val="24"/>
        </w:rPr>
      </w:pPr>
    </w:p>
    <w:p w14:paraId="0DDE9292" w14:textId="77777777" w:rsidR="00E458C1" w:rsidRPr="00D92B8C" w:rsidRDefault="00E458C1" w:rsidP="00E458C1">
      <w:pPr>
        <w:pStyle w:val="Liststycke"/>
        <w:numPr>
          <w:ilvl w:val="0"/>
          <w:numId w:val="18"/>
        </w:numPr>
        <w:rPr>
          <w:sz w:val="24"/>
          <w:szCs w:val="24"/>
        </w:rPr>
      </w:pPr>
      <w:r w:rsidRPr="00D92B8C">
        <w:rPr>
          <w:sz w:val="24"/>
          <w:szCs w:val="24"/>
        </w:rPr>
        <w:t>Antalet tjänstgörande lärarassistenter läsåret 2025/26 är nästan 4 760 personer, vilket motsvarar drygt 3 410 heltidstjänster. Jämfört med läsåret innan har antalet heltidstjänster bland lärarassistenter ökat.</w:t>
      </w:r>
    </w:p>
    <w:p w14:paraId="2EA9A6E8" w14:textId="77777777" w:rsidR="00E458C1" w:rsidRPr="00D92B8C" w:rsidRDefault="00E458C1" w:rsidP="00E458C1">
      <w:pPr>
        <w:pStyle w:val="Normal1"/>
        <w:spacing w:before="0" w:after="0"/>
        <w:textAlignment w:val="baseline"/>
        <w:rPr>
          <w:rFonts w:ascii="Source Sans Pro" w:hAnsi="Source Sans Pro"/>
          <w:color w:val="262626"/>
          <w:sz w:val="20"/>
          <w:szCs w:val="20"/>
        </w:rPr>
      </w:pPr>
      <w:hyperlink r:id="rId12" w:history="1">
        <w:r w:rsidRPr="00D92B8C">
          <w:rPr>
            <w:rStyle w:val="Hyperlnk"/>
            <w:rFonts w:ascii="inherit" w:hAnsi="inherit"/>
            <w:color w:val="005C93"/>
            <w:sz w:val="20"/>
            <w:szCs w:val="20"/>
            <w:bdr w:val="none" w:sz="0" w:space="0" w:color="auto" w:frame="1"/>
          </w:rPr>
          <w:t>Pedagogisk personal i skola och vuxenutbildning – läsåret 2025/26</w:t>
        </w:r>
      </w:hyperlink>
    </w:p>
    <w:p w14:paraId="3D74F124" w14:textId="77777777" w:rsidR="00E458C1" w:rsidRPr="00D92B8C" w:rsidRDefault="00E458C1" w:rsidP="00E458C1">
      <w:pPr>
        <w:textAlignment w:val="baseline"/>
        <w:rPr>
          <w:rFonts w:ascii="inherit" w:hAnsi="inherit"/>
        </w:rPr>
      </w:pPr>
      <w:hyperlink r:id="rId13" w:history="1">
        <w:r w:rsidRPr="00D92B8C">
          <w:rPr>
            <w:rStyle w:val="Hyperlnk"/>
            <w:rFonts w:ascii="inherit" w:hAnsi="inherit"/>
          </w:rPr>
          <w:t>https://www.skolverket.se/om-skolverket/nyheter-och-pressmeddelanden/nyheter/nyheter/2026-04-08-lararbehorigheten-okar</w:t>
        </w:r>
      </w:hyperlink>
    </w:p>
    <w:p w14:paraId="18D5E2B7" w14:textId="77777777" w:rsidR="00E458C1" w:rsidRDefault="00E458C1" w:rsidP="00E458C1"/>
    <w:p w14:paraId="2B0E6BCD" w14:textId="445799E3" w:rsidR="00872AD5" w:rsidRPr="00D92B8C" w:rsidRDefault="00872AD5" w:rsidP="00872AD5">
      <w:pPr>
        <w:rPr>
          <w:b/>
          <w:bCs/>
          <w:sz w:val="32"/>
          <w:szCs w:val="32"/>
        </w:rPr>
      </w:pPr>
      <w:r w:rsidRPr="00D92B8C">
        <w:rPr>
          <w:b/>
          <w:bCs/>
          <w:sz w:val="32"/>
          <w:szCs w:val="32"/>
        </w:rPr>
        <w:t xml:space="preserve">Skolverket: </w:t>
      </w:r>
      <w:r w:rsidR="00FE3166">
        <w:rPr>
          <w:b/>
          <w:bCs/>
          <w:sz w:val="32"/>
          <w:szCs w:val="32"/>
        </w:rPr>
        <w:t>G</w:t>
      </w:r>
      <w:r w:rsidRPr="00D92B8C">
        <w:rPr>
          <w:b/>
          <w:bCs/>
          <w:sz w:val="32"/>
          <w:szCs w:val="32"/>
        </w:rPr>
        <w:t>ymnasieelever riskerar att inte få den undervisningstid de har rätt till</w:t>
      </w:r>
    </w:p>
    <w:p w14:paraId="634A5390" w14:textId="77777777" w:rsidR="00872AD5" w:rsidRDefault="00872AD5" w:rsidP="00872AD5">
      <w:pPr>
        <w:rPr>
          <w:sz w:val="24"/>
          <w:szCs w:val="24"/>
        </w:rPr>
      </w:pPr>
    </w:p>
    <w:p w14:paraId="3574AF14" w14:textId="77777777" w:rsidR="00872AD5" w:rsidRDefault="00872AD5" w:rsidP="00872AD5">
      <w:pPr>
        <w:rPr>
          <w:sz w:val="24"/>
          <w:szCs w:val="24"/>
        </w:rPr>
      </w:pPr>
      <w:r w:rsidRPr="00D92B8C">
        <w:rPr>
          <w:sz w:val="24"/>
          <w:szCs w:val="24"/>
        </w:rPr>
        <w:t xml:space="preserve">En ny rapport från Skolverket visar det finns en risk att många gymnasieelever i Sverige inte får sin garanterade undervisningstid. </w:t>
      </w:r>
    </w:p>
    <w:p w14:paraId="586D5E18" w14:textId="77777777" w:rsidR="00872AD5" w:rsidRDefault="00872AD5" w:rsidP="00872AD5">
      <w:pPr>
        <w:rPr>
          <w:sz w:val="24"/>
          <w:szCs w:val="24"/>
        </w:rPr>
      </w:pPr>
    </w:p>
    <w:p w14:paraId="76BF91A9" w14:textId="77777777" w:rsidR="00872AD5" w:rsidRDefault="00872AD5" w:rsidP="00872AD5">
      <w:pPr>
        <w:rPr>
          <w:sz w:val="24"/>
          <w:szCs w:val="24"/>
        </w:rPr>
      </w:pPr>
      <w:r w:rsidRPr="00D92B8C">
        <w:rPr>
          <w:sz w:val="24"/>
          <w:szCs w:val="24"/>
        </w:rPr>
        <w:t>Kartläggningen visar att det är vanligt att undervisningstid uteblir på gymnasieskolans nationella program och att det kan vara svårt att i efterhand kompensera eleverna för utebliven undervisningstid. På tre av tio skolor ledde lärares frånvaro till att lektioner ställdes in åtminstone varje månad under vårterminen 2025.</w:t>
      </w:r>
    </w:p>
    <w:p w14:paraId="2E440385" w14:textId="77777777" w:rsidR="00872AD5" w:rsidRPr="00D92B8C" w:rsidRDefault="00872AD5" w:rsidP="00872AD5">
      <w:pPr>
        <w:rPr>
          <w:sz w:val="24"/>
          <w:szCs w:val="24"/>
        </w:rPr>
      </w:pPr>
    </w:p>
    <w:p w14:paraId="0247DA5D" w14:textId="77777777" w:rsidR="00872AD5" w:rsidRPr="00D92B8C" w:rsidRDefault="00872AD5" w:rsidP="00872AD5">
      <w:pPr>
        <w:rPr>
          <w:sz w:val="24"/>
          <w:szCs w:val="24"/>
        </w:rPr>
      </w:pPr>
      <w:r w:rsidRPr="00D92B8C">
        <w:rPr>
          <w:sz w:val="24"/>
          <w:szCs w:val="24"/>
        </w:rPr>
        <w:t xml:space="preserve">Kartläggningen visar också att gymnasieskolor har olika syn på vilka aktiviteter som ska räknas in i elevernas undervisningstid. Till exempel räknar en del skolor genomförandet av nationella prov som undervisningstid, medan andra inte gör det. Skolverket bedömer att </w:t>
      </w:r>
      <w:r w:rsidRPr="00D92B8C">
        <w:rPr>
          <w:sz w:val="24"/>
          <w:szCs w:val="24"/>
        </w:rPr>
        <w:lastRenderedPageBreak/>
        <w:t>genomförandet av nationella prov inte ska ingå i elevernas garanterade undervisningstid i gymnasieskolan och skolor behöver planera undervisningstiden med detta i åtanke.</w:t>
      </w:r>
    </w:p>
    <w:p w14:paraId="1990DB7C" w14:textId="77777777" w:rsidR="00872AD5" w:rsidRPr="00D92B8C" w:rsidRDefault="00872AD5" w:rsidP="00872AD5">
      <w:pPr>
        <w:pStyle w:val="Normal1"/>
        <w:spacing w:before="0" w:after="0"/>
        <w:textAlignment w:val="baseline"/>
        <w:rPr>
          <w:rFonts w:ascii="Source Sans Pro" w:hAnsi="Source Sans Pro"/>
          <w:color w:val="262626"/>
          <w:sz w:val="20"/>
          <w:szCs w:val="20"/>
        </w:rPr>
      </w:pPr>
      <w:hyperlink r:id="rId14" w:history="1">
        <w:r w:rsidRPr="00D92B8C">
          <w:rPr>
            <w:rStyle w:val="Hyperlnk"/>
            <w:rFonts w:ascii="inherit" w:hAnsi="inherit"/>
            <w:color w:val="005C93"/>
            <w:sz w:val="20"/>
            <w:szCs w:val="20"/>
            <w:bdr w:val="none" w:sz="0" w:space="0" w:color="auto" w:frame="1"/>
          </w:rPr>
          <w:t>Garanterad undervisningstid på gymnasieskolans nationella program</w:t>
        </w:r>
      </w:hyperlink>
      <w:r w:rsidRPr="00D92B8C">
        <w:rPr>
          <w:rFonts w:ascii="Source Sans Pro" w:hAnsi="Source Sans Pro"/>
          <w:color w:val="262626"/>
          <w:sz w:val="20"/>
          <w:szCs w:val="20"/>
        </w:rPr>
        <w:t> </w:t>
      </w:r>
    </w:p>
    <w:p w14:paraId="6540D247" w14:textId="77777777" w:rsidR="00872AD5" w:rsidRPr="00D92B8C" w:rsidRDefault="00872AD5" w:rsidP="00872AD5">
      <w:pPr>
        <w:textAlignment w:val="baseline"/>
        <w:rPr>
          <w:rFonts w:ascii="inherit" w:hAnsi="inherit"/>
        </w:rPr>
      </w:pPr>
      <w:hyperlink r:id="rId15" w:history="1">
        <w:r w:rsidRPr="00D92B8C">
          <w:rPr>
            <w:rStyle w:val="Hyperlnk"/>
            <w:rFonts w:ascii="inherit" w:hAnsi="inherit"/>
          </w:rPr>
          <w:t>https://www.skolverket.se/om-skolverket/nyheter-och-pressmeddelanden/pressmeddelanden/pressmeddelanden/2026-04-09-manga-gymnasieelever-riskerar-att-inte-fa-den-undervisningstid-de-har-ratt-till</w:t>
        </w:r>
      </w:hyperlink>
    </w:p>
    <w:p w14:paraId="28890195" w14:textId="77777777" w:rsidR="00872AD5" w:rsidRDefault="00872AD5" w:rsidP="00E458C1"/>
    <w:p w14:paraId="5E35E2F3" w14:textId="77777777" w:rsidR="00E458C1" w:rsidRPr="00D17FF6" w:rsidRDefault="00E458C1" w:rsidP="00E458C1">
      <w:pPr>
        <w:rPr>
          <w:b/>
          <w:bCs/>
          <w:sz w:val="32"/>
          <w:szCs w:val="32"/>
        </w:rPr>
      </w:pPr>
      <w:r w:rsidRPr="00D17FF6">
        <w:rPr>
          <w:b/>
          <w:bCs/>
          <w:sz w:val="32"/>
          <w:szCs w:val="32"/>
        </w:rPr>
        <w:t>Skolverket stärker arbetet med vetenskaplig grund</w:t>
      </w:r>
    </w:p>
    <w:p w14:paraId="54507917" w14:textId="77777777" w:rsidR="00E458C1" w:rsidRDefault="00E458C1" w:rsidP="00E458C1">
      <w:pPr>
        <w:rPr>
          <w:sz w:val="24"/>
          <w:szCs w:val="24"/>
        </w:rPr>
      </w:pPr>
    </w:p>
    <w:p w14:paraId="2E424804" w14:textId="77777777" w:rsidR="00E458C1" w:rsidRDefault="00E458C1" w:rsidP="00E458C1">
      <w:pPr>
        <w:rPr>
          <w:sz w:val="24"/>
          <w:szCs w:val="24"/>
        </w:rPr>
      </w:pPr>
      <w:r w:rsidRPr="00D17FF6">
        <w:rPr>
          <w:sz w:val="24"/>
          <w:szCs w:val="24"/>
        </w:rPr>
        <w:t>Skolverket genomför ett omfattande förändringsarbete för att stärka myndighetens arbete med vetenskaplig grund och beprövad erfarenhet. En central del är inrättandet av en funktion för vetenskaplig grund och beprövad erfarenhet samt utvecklingen av nya arbetssätt för myndigheten att beställa och ta fram kunskapsunderlag. Skolverkets vetenskapliga råd har också en viktig roll i det arbetet.</w:t>
      </w:r>
    </w:p>
    <w:p w14:paraId="3FD18111" w14:textId="77777777" w:rsidR="00E458C1" w:rsidRPr="00D17FF6" w:rsidRDefault="00E458C1" w:rsidP="00E458C1">
      <w:pPr>
        <w:rPr>
          <w:sz w:val="24"/>
          <w:szCs w:val="24"/>
        </w:rPr>
      </w:pPr>
    </w:p>
    <w:p w14:paraId="63514B2E" w14:textId="77777777" w:rsidR="00E458C1" w:rsidRPr="00D17FF6" w:rsidRDefault="00E458C1" w:rsidP="00E458C1">
      <w:pPr>
        <w:rPr>
          <w:sz w:val="24"/>
          <w:szCs w:val="24"/>
        </w:rPr>
      </w:pPr>
      <w:r w:rsidRPr="00D17FF6">
        <w:rPr>
          <w:sz w:val="24"/>
          <w:szCs w:val="24"/>
        </w:rPr>
        <w:t>De nya principerna för framtagande av kunskapsunderlag innebär bland annat att</w:t>
      </w:r>
    </w:p>
    <w:p w14:paraId="40BE1407" w14:textId="77777777" w:rsidR="00E458C1" w:rsidRPr="00D17FF6" w:rsidRDefault="00E458C1" w:rsidP="00E458C1">
      <w:pPr>
        <w:pStyle w:val="Liststycke"/>
        <w:numPr>
          <w:ilvl w:val="0"/>
          <w:numId w:val="16"/>
        </w:numPr>
        <w:rPr>
          <w:sz w:val="24"/>
          <w:szCs w:val="24"/>
        </w:rPr>
      </w:pPr>
      <w:r w:rsidRPr="00D17FF6">
        <w:rPr>
          <w:sz w:val="24"/>
          <w:szCs w:val="24"/>
        </w:rPr>
        <w:t>vetenskaplig kunskap ska sammanställas genom systematiska sökningar när det är möjligt</w:t>
      </w:r>
    </w:p>
    <w:p w14:paraId="57133518" w14:textId="77777777" w:rsidR="00E458C1" w:rsidRPr="00D17FF6" w:rsidRDefault="00E458C1" w:rsidP="00E458C1">
      <w:pPr>
        <w:pStyle w:val="Liststycke"/>
        <w:numPr>
          <w:ilvl w:val="0"/>
          <w:numId w:val="16"/>
        </w:numPr>
        <w:rPr>
          <w:sz w:val="24"/>
          <w:szCs w:val="24"/>
        </w:rPr>
      </w:pPr>
      <w:r w:rsidRPr="00D17FF6">
        <w:rPr>
          <w:sz w:val="24"/>
          <w:szCs w:val="24"/>
        </w:rPr>
        <w:t>forskningsresultat ska värderas utifrån trovärdighet</w:t>
      </w:r>
    </w:p>
    <w:p w14:paraId="16E8D0C8" w14:textId="77777777" w:rsidR="00E458C1" w:rsidRDefault="00E458C1" w:rsidP="00E458C1">
      <w:pPr>
        <w:pStyle w:val="Liststycke"/>
        <w:numPr>
          <w:ilvl w:val="0"/>
          <w:numId w:val="16"/>
        </w:numPr>
        <w:rPr>
          <w:sz w:val="24"/>
          <w:szCs w:val="24"/>
        </w:rPr>
      </w:pPr>
      <w:r w:rsidRPr="00D17FF6">
        <w:rPr>
          <w:sz w:val="24"/>
          <w:szCs w:val="24"/>
        </w:rPr>
        <w:t>kunskap från olika vetenskapliga traditioner och metoder ska tas tillvara.</w:t>
      </w:r>
    </w:p>
    <w:p w14:paraId="7C9E542E" w14:textId="77777777" w:rsidR="00E458C1" w:rsidRPr="00D17FF6" w:rsidRDefault="00E458C1" w:rsidP="00E458C1">
      <w:pPr>
        <w:pStyle w:val="Liststycke"/>
        <w:rPr>
          <w:sz w:val="24"/>
          <w:szCs w:val="24"/>
        </w:rPr>
      </w:pPr>
    </w:p>
    <w:p w14:paraId="61106C82" w14:textId="77777777" w:rsidR="00E458C1" w:rsidRDefault="00E458C1" w:rsidP="00E458C1">
      <w:pPr>
        <w:textAlignment w:val="baseline"/>
        <w:rPr>
          <w:rFonts w:ascii="inherit" w:hAnsi="inherit"/>
        </w:rPr>
      </w:pPr>
      <w:hyperlink r:id="rId16" w:history="1">
        <w:r w:rsidRPr="00B855B4">
          <w:rPr>
            <w:rStyle w:val="Hyperlnk"/>
            <w:rFonts w:ascii="inherit" w:hAnsi="inherit"/>
          </w:rPr>
          <w:t>https://www.skolverket.se/om-skolverket/nyheter-och-pressmeddelanden/nyheter/nyheter/2026-04-20-skolverket-starker-arbetet-med-vetenskaplig-grund</w:t>
        </w:r>
      </w:hyperlink>
    </w:p>
    <w:p w14:paraId="3495499D" w14:textId="77777777" w:rsidR="00E458C1" w:rsidRDefault="00E458C1" w:rsidP="00E458C1"/>
    <w:p w14:paraId="3EF190DC" w14:textId="77777777" w:rsidR="00E458C1" w:rsidRPr="000F2F8C" w:rsidRDefault="00E458C1" w:rsidP="00E458C1">
      <w:pPr>
        <w:rPr>
          <w:b/>
          <w:bCs/>
          <w:sz w:val="32"/>
          <w:szCs w:val="32"/>
        </w:rPr>
      </w:pPr>
      <w:r w:rsidRPr="000F2F8C">
        <w:rPr>
          <w:b/>
          <w:bCs/>
          <w:sz w:val="32"/>
          <w:szCs w:val="32"/>
        </w:rPr>
        <w:t>Skolverket: Regeringens expertgrupp får en mer central roll i läroplansarbetet</w:t>
      </w:r>
    </w:p>
    <w:p w14:paraId="544F2B47" w14:textId="77777777" w:rsidR="00E458C1" w:rsidRDefault="00E458C1" w:rsidP="00E458C1">
      <w:pPr>
        <w:rPr>
          <w:sz w:val="24"/>
          <w:szCs w:val="24"/>
        </w:rPr>
      </w:pPr>
    </w:p>
    <w:p w14:paraId="7C3C1715" w14:textId="77777777" w:rsidR="00E458C1" w:rsidRPr="000F2F8C" w:rsidRDefault="00E458C1" w:rsidP="00E458C1">
      <w:pPr>
        <w:rPr>
          <w:sz w:val="24"/>
          <w:szCs w:val="24"/>
        </w:rPr>
      </w:pPr>
      <w:r w:rsidRPr="000F2F8C">
        <w:rPr>
          <w:sz w:val="24"/>
          <w:szCs w:val="24"/>
        </w:rPr>
        <w:t>Regeringen har tidigare utsett en expertgrupp som har stöttat Skolverkets arbete med att ta fram nya läro- och kursplaner. Nu ger regeringen expertgruppen en mer aktiv och central roll i det fortsatta arbetet. Ändringen innebär att expertgruppen ska samarbeta tätare med Skolverket i arbetet med de nya läroplanerna.</w:t>
      </w:r>
    </w:p>
    <w:p w14:paraId="284E8E18" w14:textId="77777777" w:rsidR="00E458C1" w:rsidRDefault="00E458C1" w:rsidP="00E458C1">
      <w:pPr>
        <w:rPr>
          <w:sz w:val="24"/>
          <w:szCs w:val="24"/>
        </w:rPr>
      </w:pPr>
    </w:p>
    <w:p w14:paraId="68AE0628" w14:textId="77777777" w:rsidR="00E458C1" w:rsidRPr="000F2F8C" w:rsidRDefault="00E458C1" w:rsidP="00E458C1">
      <w:pPr>
        <w:rPr>
          <w:sz w:val="24"/>
          <w:szCs w:val="24"/>
        </w:rPr>
      </w:pPr>
      <w:r w:rsidRPr="000F2F8C">
        <w:rPr>
          <w:sz w:val="24"/>
          <w:szCs w:val="24"/>
        </w:rPr>
        <w:t>Expertgruppen består av följande medlemmar:</w:t>
      </w:r>
    </w:p>
    <w:p w14:paraId="772F2BC2" w14:textId="77777777" w:rsidR="00E458C1" w:rsidRPr="000F2F8C" w:rsidRDefault="00E458C1" w:rsidP="00E458C1">
      <w:pPr>
        <w:pStyle w:val="Liststycke"/>
        <w:numPr>
          <w:ilvl w:val="0"/>
          <w:numId w:val="14"/>
        </w:numPr>
        <w:rPr>
          <w:sz w:val="24"/>
          <w:szCs w:val="24"/>
        </w:rPr>
      </w:pPr>
      <w:r w:rsidRPr="000F2F8C">
        <w:rPr>
          <w:sz w:val="24"/>
          <w:szCs w:val="24"/>
        </w:rPr>
        <w:t>Linda Fälth, professor vid Linnéuniversitetet</w:t>
      </w:r>
    </w:p>
    <w:p w14:paraId="67AE9BA6" w14:textId="77777777" w:rsidR="00E458C1" w:rsidRPr="000F2F8C" w:rsidRDefault="00E458C1" w:rsidP="00E458C1">
      <w:pPr>
        <w:pStyle w:val="Liststycke"/>
        <w:numPr>
          <w:ilvl w:val="0"/>
          <w:numId w:val="14"/>
        </w:numPr>
        <w:rPr>
          <w:sz w:val="24"/>
          <w:szCs w:val="24"/>
        </w:rPr>
      </w:pPr>
      <w:r w:rsidRPr="000F2F8C">
        <w:rPr>
          <w:sz w:val="24"/>
          <w:szCs w:val="24"/>
        </w:rPr>
        <w:t>Christopher Gillberg, professor vid Göteborgs universitet</w:t>
      </w:r>
    </w:p>
    <w:p w14:paraId="309617FB" w14:textId="77777777" w:rsidR="00E458C1" w:rsidRPr="000F2F8C" w:rsidRDefault="00E458C1" w:rsidP="00E458C1">
      <w:pPr>
        <w:pStyle w:val="Liststycke"/>
        <w:numPr>
          <w:ilvl w:val="0"/>
          <w:numId w:val="14"/>
        </w:numPr>
        <w:rPr>
          <w:sz w:val="24"/>
          <w:szCs w:val="24"/>
        </w:rPr>
      </w:pPr>
      <w:r w:rsidRPr="000F2F8C">
        <w:rPr>
          <w:sz w:val="24"/>
          <w:szCs w:val="24"/>
        </w:rPr>
        <w:t xml:space="preserve">Agneta </w:t>
      </w:r>
      <w:proofErr w:type="spellStart"/>
      <w:r w:rsidRPr="000F2F8C">
        <w:rPr>
          <w:sz w:val="24"/>
          <w:szCs w:val="24"/>
        </w:rPr>
        <w:t>Gulz</w:t>
      </w:r>
      <w:proofErr w:type="spellEnd"/>
      <w:r w:rsidRPr="000F2F8C">
        <w:rPr>
          <w:sz w:val="24"/>
          <w:szCs w:val="24"/>
        </w:rPr>
        <w:t>, professor vid Lunds universitet och Linköpings universitet</w:t>
      </w:r>
    </w:p>
    <w:p w14:paraId="0922C883" w14:textId="77777777" w:rsidR="00E458C1" w:rsidRPr="000F2F8C" w:rsidRDefault="00E458C1" w:rsidP="00E458C1">
      <w:pPr>
        <w:pStyle w:val="Liststycke"/>
        <w:numPr>
          <w:ilvl w:val="0"/>
          <w:numId w:val="14"/>
        </w:numPr>
        <w:rPr>
          <w:sz w:val="24"/>
          <w:szCs w:val="24"/>
        </w:rPr>
      </w:pPr>
      <w:r w:rsidRPr="000F2F8C">
        <w:rPr>
          <w:sz w:val="24"/>
          <w:szCs w:val="24"/>
        </w:rPr>
        <w:t>Ola Helenius, professor vid Göteborgs universitet</w:t>
      </w:r>
    </w:p>
    <w:p w14:paraId="1672F247" w14:textId="77777777" w:rsidR="00E458C1" w:rsidRPr="000F2F8C" w:rsidRDefault="00E458C1" w:rsidP="00E458C1">
      <w:pPr>
        <w:pStyle w:val="Liststycke"/>
        <w:numPr>
          <w:ilvl w:val="0"/>
          <w:numId w:val="14"/>
        </w:numPr>
        <w:rPr>
          <w:sz w:val="24"/>
          <w:szCs w:val="24"/>
        </w:rPr>
      </w:pPr>
      <w:r w:rsidRPr="000F2F8C">
        <w:rPr>
          <w:sz w:val="24"/>
          <w:szCs w:val="24"/>
        </w:rPr>
        <w:t>Martin Ingvar, professor vid Karolinska institutet. Samordnare för expertgruppen.</w:t>
      </w:r>
    </w:p>
    <w:p w14:paraId="52C55978" w14:textId="77777777" w:rsidR="00E458C1" w:rsidRPr="000F2F8C" w:rsidRDefault="00E458C1" w:rsidP="00E458C1">
      <w:pPr>
        <w:pStyle w:val="Liststycke"/>
        <w:numPr>
          <w:ilvl w:val="0"/>
          <w:numId w:val="14"/>
        </w:numPr>
        <w:rPr>
          <w:sz w:val="24"/>
          <w:szCs w:val="24"/>
        </w:rPr>
      </w:pPr>
      <w:r w:rsidRPr="000F2F8C">
        <w:rPr>
          <w:sz w:val="24"/>
          <w:szCs w:val="24"/>
        </w:rPr>
        <w:t>Jonas Linderoth, professor vid Göteborgs universitet</w:t>
      </w:r>
    </w:p>
    <w:p w14:paraId="78063BF7" w14:textId="77777777" w:rsidR="00E458C1" w:rsidRPr="000F2F8C" w:rsidRDefault="00E458C1" w:rsidP="00E458C1">
      <w:pPr>
        <w:pStyle w:val="Liststycke"/>
        <w:numPr>
          <w:ilvl w:val="0"/>
          <w:numId w:val="14"/>
        </w:numPr>
        <w:rPr>
          <w:sz w:val="24"/>
          <w:szCs w:val="24"/>
        </w:rPr>
      </w:pPr>
      <w:r w:rsidRPr="000F2F8C">
        <w:rPr>
          <w:sz w:val="24"/>
          <w:szCs w:val="24"/>
        </w:rPr>
        <w:t>Linnéa Lindquist, biträdande rektor</w:t>
      </w:r>
    </w:p>
    <w:p w14:paraId="223757BC" w14:textId="77777777" w:rsidR="00E458C1" w:rsidRPr="000F2F8C" w:rsidRDefault="00E458C1" w:rsidP="00E458C1">
      <w:pPr>
        <w:pStyle w:val="Liststycke"/>
        <w:numPr>
          <w:ilvl w:val="0"/>
          <w:numId w:val="14"/>
        </w:numPr>
        <w:rPr>
          <w:sz w:val="24"/>
          <w:szCs w:val="24"/>
        </w:rPr>
      </w:pPr>
      <w:r w:rsidRPr="000F2F8C">
        <w:rPr>
          <w:sz w:val="24"/>
          <w:szCs w:val="24"/>
        </w:rPr>
        <w:t>Håkan Sjöberg, lärare</w:t>
      </w:r>
    </w:p>
    <w:p w14:paraId="402D9B71" w14:textId="77777777" w:rsidR="00E458C1" w:rsidRPr="000F2F8C" w:rsidRDefault="00E458C1" w:rsidP="00E458C1">
      <w:pPr>
        <w:pStyle w:val="Liststycke"/>
        <w:numPr>
          <w:ilvl w:val="0"/>
          <w:numId w:val="14"/>
        </w:numPr>
        <w:rPr>
          <w:sz w:val="24"/>
          <w:szCs w:val="24"/>
        </w:rPr>
      </w:pPr>
      <w:r w:rsidRPr="000F2F8C">
        <w:rPr>
          <w:sz w:val="24"/>
          <w:szCs w:val="24"/>
        </w:rPr>
        <w:t xml:space="preserve">Anna-Karin </w:t>
      </w:r>
      <w:proofErr w:type="spellStart"/>
      <w:r w:rsidRPr="000F2F8C">
        <w:rPr>
          <w:sz w:val="24"/>
          <w:szCs w:val="24"/>
        </w:rPr>
        <w:t>Wyndhamn</w:t>
      </w:r>
      <w:proofErr w:type="spellEnd"/>
      <w:r w:rsidRPr="000F2F8C">
        <w:rPr>
          <w:sz w:val="24"/>
          <w:szCs w:val="24"/>
        </w:rPr>
        <w:t xml:space="preserve">, </w:t>
      </w:r>
      <w:proofErr w:type="spellStart"/>
      <w:proofErr w:type="gramStart"/>
      <w:r w:rsidRPr="000F2F8C">
        <w:rPr>
          <w:sz w:val="24"/>
          <w:szCs w:val="24"/>
        </w:rPr>
        <w:t>fil.dr</w:t>
      </w:r>
      <w:proofErr w:type="spellEnd"/>
      <w:proofErr w:type="gramEnd"/>
      <w:r w:rsidRPr="000F2F8C">
        <w:rPr>
          <w:sz w:val="24"/>
          <w:szCs w:val="24"/>
        </w:rPr>
        <w:t xml:space="preserve"> universitetsadjunkt vid Göteborgs universitet</w:t>
      </w:r>
    </w:p>
    <w:p w14:paraId="30B11737" w14:textId="77777777" w:rsidR="00E458C1" w:rsidRDefault="00E458C1" w:rsidP="00E458C1"/>
    <w:p w14:paraId="14D478AB" w14:textId="77777777" w:rsidR="00E458C1" w:rsidRDefault="00E458C1" w:rsidP="00E458C1">
      <w:pPr>
        <w:rPr>
          <w:sz w:val="24"/>
          <w:szCs w:val="24"/>
        </w:rPr>
      </w:pPr>
      <w:r w:rsidRPr="000F2F8C">
        <w:rPr>
          <w:sz w:val="24"/>
          <w:szCs w:val="24"/>
        </w:rPr>
        <w:lastRenderedPageBreak/>
        <w:t>Förslagen på kursplaner kommer att gå ut på remiss under perioden 9 oktober till 11 december 2026, och bearbetas därefter utifrån inkomna remissvar. I mars 2027 ska Skolverket lämna de färdiga förslagen till regeringen, som sedan fattar beslut om nya läro- och kursplaner.</w:t>
      </w:r>
    </w:p>
    <w:p w14:paraId="3625E9E0" w14:textId="77777777" w:rsidR="00E458C1" w:rsidRPr="000F2F8C" w:rsidRDefault="00E458C1" w:rsidP="00E458C1">
      <w:pPr>
        <w:rPr>
          <w:sz w:val="24"/>
          <w:szCs w:val="24"/>
        </w:rPr>
      </w:pPr>
    </w:p>
    <w:p w14:paraId="678A013A" w14:textId="77777777" w:rsidR="00E458C1" w:rsidRDefault="00E458C1" w:rsidP="00E458C1">
      <w:hyperlink r:id="rId17" w:history="1">
        <w:r w:rsidRPr="00B855B4">
          <w:rPr>
            <w:rStyle w:val="Hyperlnk"/>
          </w:rPr>
          <w:t>https://www.skolverket.se/om-skolverket/nyheter-och-pressmeddelanden/nyheter/nyheter/2026-04-28-regeringens-expertgrupp-far-en-mer-central-roll-i-laroplansarbetet</w:t>
        </w:r>
      </w:hyperlink>
    </w:p>
    <w:p w14:paraId="27BABCC4" w14:textId="77777777" w:rsidR="00E458C1" w:rsidRDefault="00E458C1" w:rsidP="00FC6D40">
      <w:pPr>
        <w:pStyle w:val="Normalwebb"/>
        <w:spacing w:before="0" w:beforeAutospacing="0" w:after="0" w:afterAutospacing="0"/>
        <w:rPr>
          <w:color w:val="000000"/>
        </w:rPr>
      </w:pPr>
    </w:p>
    <w:p w14:paraId="0BEBDDE0" w14:textId="784F1355" w:rsidR="00FC6D40" w:rsidRPr="005F2A46" w:rsidRDefault="00FC6D40" w:rsidP="005F2A46">
      <w:pPr>
        <w:rPr>
          <w:b/>
          <w:bCs/>
          <w:sz w:val="32"/>
          <w:szCs w:val="32"/>
        </w:rPr>
      </w:pPr>
      <w:r w:rsidRPr="005F2A46">
        <w:rPr>
          <w:b/>
          <w:bCs/>
          <w:sz w:val="32"/>
          <w:szCs w:val="32"/>
        </w:rPr>
        <w:t>Regeringen</w:t>
      </w:r>
      <w:r w:rsidR="005F2A46" w:rsidRPr="005F2A46">
        <w:rPr>
          <w:b/>
          <w:bCs/>
          <w:sz w:val="32"/>
          <w:szCs w:val="32"/>
        </w:rPr>
        <w:t>:</w:t>
      </w:r>
      <w:r w:rsidRPr="005F2A46">
        <w:rPr>
          <w:b/>
          <w:bCs/>
          <w:sz w:val="32"/>
          <w:szCs w:val="32"/>
        </w:rPr>
        <w:t xml:space="preserve"> </w:t>
      </w:r>
      <w:r w:rsidR="005F2A46" w:rsidRPr="005F2A46">
        <w:rPr>
          <w:b/>
          <w:bCs/>
          <w:sz w:val="32"/>
          <w:szCs w:val="32"/>
        </w:rPr>
        <w:t xml:space="preserve">Stärk den </w:t>
      </w:r>
      <w:r w:rsidRPr="005F2A46">
        <w:rPr>
          <w:b/>
          <w:bCs/>
          <w:sz w:val="32"/>
          <w:szCs w:val="32"/>
        </w:rPr>
        <w:t xml:space="preserve">yrkesnära undervisning i </w:t>
      </w:r>
      <w:proofErr w:type="spellStart"/>
      <w:r w:rsidRPr="005F2A46">
        <w:rPr>
          <w:b/>
          <w:bCs/>
          <w:sz w:val="32"/>
          <w:szCs w:val="32"/>
        </w:rPr>
        <w:t>komvux</w:t>
      </w:r>
      <w:proofErr w:type="spellEnd"/>
    </w:p>
    <w:p w14:paraId="2E7BD1B1" w14:textId="77777777" w:rsidR="005F2A46" w:rsidRDefault="005F2A46" w:rsidP="005F2A46">
      <w:pPr>
        <w:rPr>
          <w:sz w:val="24"/>
          <w:szCs w:val="24"/>
        </w:rPr>
      </w:pPr>
    </w:p>
    <w:p w14:paraId="572F4621" w14:textId="5ED50DB5" w:rsidR="005F2A46" w:rsidRPr="005F2A46" w:rsidRDefault="005F2A46" w:rsidP="005F2A46">
      <w:pPr>
        <w:rPr>
          <w:sz w:val="24"/>
          <w:szCs w:val="24"/>
        </w:rPr>
      </w:pPr>
      <w:r w:rsidRPr="005F2A46">
        <w:rPr>
          <w:sz w:val="24"/>
          <w:szCs w:val="24"/>
        </w:rPr>
        <w:t xml:space="preserve">Från 1 juli 2026 införs skärpta språkkrav i äldreomsorgen. Regeringen ger därför Skolverket i uppdrag att ta fram stöd för hur undervisning i svenska som andraspråk, nivå 1, och yrkesämnen som ingår i vård- och omsorgsprogrammet kan integreras vid utbildning i </w:t>
      </w:r>
      <w:proofErr w:type="spellStart"/>
      <w:r w:rsidRPr="005F2A46">
        <w:rPr>
          <w:sz w:val="24"/>
          <w:szCs w:val="24"/>
        </w:rPr>
        <w:t>komvux</w:t>
      </w:r>
      <w:proofErr w:type="spellEnd"/>
      <w:r w:rsidRPr="005F2A46">
        <w:rPr>
          <w:sz w:val="24"/>
          <w:szCs w:val="24"/>
        </w:rPr>
        <w:t>.</w:t>
      </w:r>
    </w:p>
    <w:p w14:paraId="4BA25075" w14:textId="77777777" w:rsidR="005F2A46" w:rsidRPr="005F2A46" w:rsidRDefault="005F2A46" w:rsidP="005F2A46">
      <w:pPr>
        <w:rPr>
          <w:sz w:val="24"/>
          <w:szCs w:val="24"/>
        </w:rPr>
      </w:pPr>
      <w:r w:rsidRPr="005F2A46">
        <w:rPr>
          <w:sz w:val="24"/>
          <w:szCs w:val="24"/>
        </w:rPr>
        <w:t>Vid genomförandet ska Skolverket inhämta kunskap och erfarenheter från Stockholms universitet, som i dag bedriver ett utvecklingsarbete kring språk- och yrkesintegrerad undervisning för vuxna, och Socialstyrelsen.</w:t>
      </w:r>
    </w:p>
    <w:p w14:paraId="4D5DFA07" w14:textId="528612FA" w:rsidR="00FC6D40" w:rsidRPr="005F2A46" w:rsidRDefault="005F2A46" w:rsidP="005F2A46">
      <w:pPr>
        <w:rPr>
          <w:sz w:val="24"/>
          <w:szCs w:val="24"/>
        </w:rPr>
      </w:pPr>
      <w:r w:rsidRPr="005F2A46">
        <w:rPr>
          <w:sz w:val="24"/>
          <w:szCs w:val="24"/>
        </w:rPr>
        <w:t>Uppdraget ska redovisas senast den 31 mars 2028.</w:t>
      </w:r>
    </w:p>
    <w:p w14:paraId="4B1D9307" w14:textId="52900C9E" w:rsidR="00FC6D40" w:rsidRPr="005F2A46" w:rsidRDefault="00FC6D40" w:rsidP="00FC6D40">
      <w:pPr>
        <w:spacing w:before="100" w:beforeAutospacing="1" w:after="420"/>
        <w:rPr>
          <w:rFonts w:ascii="Helvetica" w:hAnsi="Helvetica"/>
          <w:color w:val="0C0C0C"/>
        </w:rPr>
      </w:pPr>
      <w:hyperlink r:id="rId18" w:history="1">
        <w:r w:rsidRPr="005F2A46">
          <w:rPr>
            <w:rStyle w:val="Hyperlnk"/>
            <w:rFonts w:ascii="Helvetica" w:hAnsi="Helvetica"/>
          </w:rPr>
          <w:t>https://www.regeringen.se/pressmeddelanden/2026/04/regeringen-vill-starka-svenskan-i-aldreomsorgen-genom-yrkesnara-undervisning-i-komvux/</w:t>
        </w:r>
      </w:hyperlink>
    </w:p>
    <w:p w14:paraId="4875DB82" w14:textId="6BE8EBEE" w:rsidR="00FC6D40" w:rsidRPr="005F2A46" w:rsidRDefault="005F2A46" w:rsidP="005F2A46">
      <w:pPr>
        <w:rPr>
          <w:b/>
          <w:bCs/>
          <w:sz w:val="32"/>
          <w:szCs w:val="32"/>
        </w:rPr>
      </w:pPr>
      <w:r w:rsidRPr="005F2A46">
        <w:rPr>
          <w:b/>
          <w:bCs/>
          <w:sz w:val="32"/>
          <w:szCs w:val="32"/>
        </w:rPr>
        <w:t xml:space="preserve">Regeringen: </w:t>
      </w:r>
      <w:r w:rsidR="00FC6D40" w:rsidRPr="005F2A46">
        <w:rPr>
          <w:b/>
          <w:bCs/>
          <w:sz w:val="32"/>
          <w:szCs w:val="32"/>
        </w:rPr>
        <w:t>Skolverket ska genomföra kunskapshöjande insatser mot antisemitism</w:t>
      </w:r>
    </w:p>
    <w:p w14:paraId="6C72DDEB" w14:textId="46563243" w:rsidR="00FC6D40" w:rsidRPr="005F2A46" w:rsidRDefault="005F2A46" w:rsidP="005F2A46">
      <w:pPr>
        <w:rPr>
          <w:sz w:val="24"/>
          <w:szCs w:val="24"/>
        </w:rPr>
      </w:pPr>
      <w:r w:rsidRPr="005F2A46">
        <w:rPr>
          <w:sz w:val="24"/>
          <w:szCs w:val="24"/>
        </w:rPr>
        <w:t xml:space="preserve"> </w:t>
      </w:r>
    </w:p>
    <w:p w14:paraId="27743986" w14:textId="18EE7FE3" w:rsidR="00FC6D40" w:rsidRDefault="005F2A46" w:rsidP="005F2A46">
      <w:pPr>
        <w:rPr>
          <w:sz w:val="24"/>
          <w:szCs w:val="24"/>
        </w:rPr>
      </w:pPr>
      <w:r w:rsidRPr="005F2A46">
        <w:rPr>
          <w:sz w:val="24"/>
          <w:szCs w:val="24"/>
        </w:rPr>
        <w:t>En studie från Skolverket visar att det kan vara svårt för skolan att upptäcka antisemitiska uttryck. Därför ger regeringen Skolverket ett uppdrag i regleringsbrevet att genomföra kunskapshöjande insatser riktade till huvudmän i syfte att motverka antisemitism i skolväsendet. Insatserna ska fokusera på spridning av Skolverkets egna och andra relevanta aktörers befintliga insatser och metoder.</w:t>
      </w:r>
    </w:p>
    <w:p w14:paraId="5191CA25" w14:textId="77777777" w:rsidR="005F2A46" w:rsidRPr="005F2A46" w:rsidRDefault="005F2A46" w:rsidP="005F2A46">
      <w:pPr>
        <w:rPr>
          <w:sz w:val="24"/>
          <w:szCs w:val="24"/>
        </w:rPr>
      </w:pPr>
    </w:p>
    <w:p w14:paraId="30CF8ACB" w14:textId="674C48D3" w:rsidR="00FC6D40" w:rsidRDefault="00FC6D40" w:rsidP="00FC6D40">
      <w:hyperlink r:id="rId19" w:history="1">
        <w:r w:rsidRPr="00B855B4">
          <w:rPr>
            <w:rStyle w:val="Hyperlnk"/>
          </w:rPr>
          <w:t>https://www.regeringen.se/pressmeddelanden/2026/04/skolverket-ska-genomfora-kunskapshojande-insatser-mot-antisemitism/</w:t>
        </w:r>
      </w:hyperlink>
    </w:p>
    <w:p w14:paraId="6F02C284" w14:textId="77777777" w:rsidR="00FC6D40" w:rsidRDefault="00FC6D40" w:rsidP="00FC6D40"/>
    <w:p w14:paraId="41165A90" w14:textId="28334B91" w:rsidR="00FC6D40" w:rsidRPr="008A7D50" w:rsidRDefault="008A7D50" w:rsidP="008A7D50">
      <w:pPr>
        <w:rPr>
          <w:b/>
          <w:bCs/>
          <w:sz w:val="32"/>
          <w:szCs w:val="32"/>
        </w:rPr>
      </w:pPr>
      <w:r w:rsidRPr="008A7D50">
        <w:rPr>
          <w:b/>
          <w:bCs/>
          <w:sz w:val="32"/>
          <w:szCs w:val="32"/>
        </w:rPr>
        <w:t xml:space="preserve">Regeringen: </w:t>
      </w:r>
      <w:r w:rsidR="00FC6D40" w:rsidRPr="008A7D50">
        <w:rPr>
          <w:b/>
          <w:bCs/>
          <w:sz w:val="32"/>
          <w:szCs w:val="32"/>
        </w:rPr>
        <w:t xml:space="preserve">Skolverket får i uppdrag att stödja trygghet och </w:t>
      </w:r>
      <w:proofErr w:type="spellStart"/>
      <w:r w:rsidR="00FC6D40" w:rsidRPr="008A7D50">
        <w:rPr>
          <w:b/>
          <w:bCs/>
          <w:sz w:val="32"/>
          <w:szCs w:val="32"/>
        </w:rPr>
        <w:t>studiero</w:t>
      </w:r>
      <w:proofErr w:type="spellEnd"/>
      <w:r w:rsidR="00FC6D40" w:rsidRPr="008A7D50">
        <w:rPr>
          <w:b/>
          <w:bCs/>
          <w:sz w:val="32"/>
          <w:szCs w:val="32"/>
        </w:rPr>
        <w:t xml:space="preserve"> i skolan</w:t>
      </w:r>
    </w:p>
    <w:p w14:paraId="119D1990" w14:textId="774BDA57" w:rsidR="00FC6D40" w:rsidRPr="008A7D50" w:rsidRDefault="008A7D50" w:rsidP="008A7D50">
      <w:pPr>
        <w:rPr>
          <w:sz w:val="24"/>
          <w:szCs w:val="24"/>
        </w:rPr>
      </w:pPr>
      <w:r w:rsidRPr="008A7D50">
        <w:rPr>
          <w:sz w:val="24"/>
          <w:szCs w:val="24"/>
        </w:rPr>
        <w:t xml:space="preserve"> </w:t>
      </w:r>
    </w:p>
    <w:p w14:paraId="5CA1F78E" w14:textId="77777777" w:rsidR="008A7D50" w:rsidRDefault="008A7D50" w:rsidP="008A7D50">
      <w:pPr>
        <w:rPr>
          <w:sz w:val="24"/>
          <w:szCs w:val="24"/>
        </w:rPr>
      </w:pPr>
      <w:r w:rsidRPr="008A7D50">
        <w:rPr>
          <w:sz w:val="24"/>
          <w:szCs w:val="24"/>
        </w:rPr>
        <w:t>H</w:t>
      </w:r>
      <w:r w:rsidR="00FC6D40" w:rsidRPr="008A7D50">
        <w:rPr>
          <w:sz w:val="24"/>
          <w:szCs w:val="24"/>
        </w:rPr>
        <w:t>östterminen</w:t>
      </w:r>
      <w:r w:rsidRPr="008A7D50">
        <w:rPr>
          <w:sz w:val="24"/>
          <w:szCs w:val="24"/>
        </w:rPr>
        <w:t xml:space="preserve"> 2026 </w:t>
      </w:r>
      <w:r w:rsidR="00FC6D40" w:rsidRPr="008A7D50">
        <w:rPr>
          <w:sz w:val="24"/>
          <w:szCs w:val="24"/>
        </w:rPr>
        <w:t xml:space="preserve">föreslås nya regler gälla som ska öka tryggheten och </w:t>
      </w:r>
      <w:proofErr w:type="spellStart"/>
      <w:r w:rsidR="00FC6D40" w:rsidRPr="008A7D50">
        <w:rPr>
          <w:sz w:val="24"/>
          <w:szCs w:val="24"/>
        </w:rPr>
        <w:t>studieron</w:t>
      </w:r>
      <w:proofErr w:type="spellEnd"/>
      <w:r w:rsidR="00FC6D40" w:rsidRPr="008A7D50">
        <w:rPr>
          <w:sz w:val="24"/>
          <w:szCs w:val="24"/>
        </w:rPr>
        <w:t xml:space="preserve"> i skolan</w:t>
      </w:r>
      <w:r w:rsidRPr="008A7D50">
        <w:rPr>
          <w:sz w:val="24"/>
          <w:szCs w:val="24"/>
        </w:rPr>
        <w:t xml:space="preserve">. </w:t>
      </w:r>
    </w:p>
    <w:p w14:paraId="0ADE46C3" w14:textId="3ABDA03A" w:rsidR="00FC6D40" w:rsidRPr="008A7D50" w:rsidRDefault="008A7D50" w:rsidP="008A7D50">
      <w:pPr>
        <w:rPr>
          <w:sz w:val="24"/>
          <w:szCs w:val="24"/>
        </w:rPr>
      </w:pPr>
      <w:r w:rsidRPr="008A7D50">
        <w:rPr>
          <w:sz w:val="24"/>
          <w:szCs w:val="24"/>
        </w:rPr>
        <w:t>Nu får Skolverket i uppdrag att ta fram stöd, till exempel i form av exempelmallar, som ska ge en både konkret och juridisk vägledning. Stödmaterialet ska publiceras på Skolverkets webbplats så snart som möjligt efter att riksdagen har beslutat om propositionen, men senast den 1 januari 2027. </w:t>
      </w:r>
    </w:p>
    <w:p w14:paraId="610243AC" w14:textId="0CF31EC3" w:rsidR="00FC6D40" w:rsidRDefault="00FC6D40" w:rsidP="00FC6D40">
      <w:hyperlink r:id="rId20" w:history="1">
        <w:r w:rsidRPr="00B855B4">
          <w:rPr>
            <w:rStyle w:val="Hyperlnk"/>
          </w:rPr>
          <w:t>https://www.regeringen.se/pressmeddelanden/2026/04/skolverket-far-i-uppdrag-att-stodja-en-starkt-trygghet-och-studiero-i-skolan/</w:t>
        </w:r>
      </w:hyperlink>
    </w:p>
    <w:p w14:paraId="678B0793" w14:textId="77777777" w:rsidR="00FC6D40" w:rsidRPr="00072C7E" w:rsidRDefault="00FC6D40" w:rsidP="00FC6D40"/>
    <w:p w14:paraId="1E7639EE" w14:textId="54450D75" w:rsidR="00FC6D40" w:rsidRPr="008A7D50" w:rsidRDefault="008A7D50" w:rsidP="008A7D50">
      <w:pPr>
        <w:rPr>
          <w:b/>
          <w:bCs/>
          <w:sz w:val="32"/>
          <w:szCs w:val="32"/>
        </w:rPr>
      </w:pPr>
      <w:r w:rsidRPr="008A7D50">
        <w:rPr>
          <w:b/>
          <w:bCs/>
          <w:sz w:val="32"/>
          <w:szCs w:val="32"/>
        </w:rPr>
        <w:t xml:space="preserve">Regeringen: </w:t>
      </w:r>
      <w:r w:rsidR="00FC6D40" w:rsidRPr="008A7D50">
        <w:rPr>
          <w:b/>
          <w:bCs/>
          <w:sz w:val="32"/>
          <w:szCs w:val="32"/>
        </w:rPr>
        <w:t>Nytt uppdrag för att stärka skolans brottsförebyggande arbete</w:t>
      </w:r>
    </w:p>
    <w:p w14:paraId="4295A834" w14:textId="77777777" w:rsidR="008A7D50" w:rsidRDefault="008A7D50" w:rsidP="008A7D50">
      <w:pPr>
        <w:rPr>
          <w:sz w:val="24"/>
          <w:szCs w:val="24"/>
        </w:rPr>
      </w:pPr>
    </w:p>
    <w:p w14:paraId="08E31A34" w14:textId="3036D4FD" w:rsidR="00FC6D40" w:rsidRDefault="008A7D50" w:rsidP="008A7D50">
      <w:pPr>
        <w:rPr>
          <w:sz w:val="24"/>
          <w:szCs w:val="24"/>
        </w:rPr>
      </w:pPr>
      <w:r w:rsidRPr="008A7D50">
        <w:rPr>
          <w:sz w:val="24"/>
          <w:szCs w:val="24"/>
        </w:rPr>
        <w:t>Regeringen ger Skolverket, Brottsförebyggande rådet (Brå) och Socialstyrelsen ett gemensamt uppdrag att ta fram ett sammanhållet, behovsanpassat och praktiknära kunskaps- och metodstöd för brottsförebyggande arbete i skolväsendet.</w:t>
      </w:r>
    </w:p>
    <w:p w14:paraId="3245861D" w14:textId="77777777" w:rsidR="008A7D50" w:rsidRPr="008A7D50" w:rsidRDefault="008A7D50" w:rsidP="008A7D50">
      <w:pPr>
        <w:rPr>
          <w:sz w:val="24"/>
          <w:szCs w:val="24"/>
        </w:rPr>
      </w:pPr>
    </w:p>
    <w:p w14:paraId="4FE96329" w14:textId="1A31D46E" w:rsidR="00C66E67" w:rsidRDefault="00FC6D40">
      <w:hyperlink r:id="rId21" w:history="1">
        <w:r w:rsidRPr="00B855B4">
          <w:rPr>
            <w:rStyle w:val="Hyperlnk"/>
          </w:rPr>
          <w:t>https://www.regeringen.se/pressmeddelanden/2026/04/nytt-uppdrag-for-att-starka-skolans-brottsforebyggande-arbete/</w:t>
        </w:r>
      </w:hyperlink>
    </w:p>
    <w:p w14:paraId="1725A52A" w14:textId="77777777" w:rsidR="001A7185" w:rsidRDefault="001A7185"/>
    <w:p w14:paraId="4AD151FA" w14:textId="4DB15442" w:rsidR="001A7185" w:rsidRPr="000F2F8C" w:rsidRDefault="000F2F8C" w:rsidP="000F2F8C">
      <w:pPr>
        <w:rPr>
          <w:b/>
          <w:bCs/>
          <w:sz w:val="32"/>
          <w:szCs w:val="32"/>
        </w:rPr>
      </w:pPr>
      <w:r w:rsidRPr="000F2F8C">
        <w:rPr>
          <w:b/>
          <w:bCs/>
          <w:sz w:val="32"/>
          <w:szCs w:val="32"/>
        </w:rPr>
        <w:t xml:space="preserve">Regeringen: </w:t>
      </w:r>
      <w:r w:rsidR="001A7185" w:rsidRPr="000F2F8C">
        <w:rPr>
          <w:b/>
          <w:bCs/>
          <w:sz w:val="32"/>
          <w:szCs w:val="32"/>
        </w:rPr>
        <w:t>Nytt stödmaterial ska hjälpa skolor att förebygga kriminalitet</w:t>
      </w:r>
      <w:r w:rsidRPr="000F2F8C">
        <w:rPr>
          <w:b/>
          <w:bCs/>
          <w:sz w:val="32"/>
          <w:szCs w:val="32"/>
        </w:rPr>
        <w:t xml:space="preserve"> </w:t>
      </w:r>
    </w:p>
    <w:p w14:paraId="3E304346" w14:textId="456BB85E" w:rsidR="001A7185" w:rsidRPr="000F2F8C" w:rsidRDefault="001A7185" w:rsidP="000F2F8C">
      <w:pPr>
        <w:rPr>
          <w:sz w:val="24"/>
          <w:szCs w:val="24"/>
        </w:rPr>
      </w:pPr>
      <w:r w:rsidRPr="000F2F8C">
        <w:rPr>
          <w:sz w:val="24"/>
          <w:szCs w:val="24"/>
        </w:rPr>
        <w:t xml:space="preserve">Regeringen </w:t>
      </w:r>
      <w:r w:rsidR="000F2F8C" w:rsidRPr="000F2F8C">
        <w:rPr>
          <w:sz w:val="24"/>
          <w:szCs w:val="24"/>
        </w:rPr>
        <w:t xml:space="preserve">ger </w:t>
      </w:r>
      <w:r w:rsidRPr="000F2F8C">
        <w:rPr>
          <w:sz w:val="24"/>
          <w:szCs w:val="24"/>
        </w:rPr>
        <w:t>Skolverket i uppdrag att ta fram ett nytt stödmaterial som ska stärka skolans arbete med att förmedla och förankra respekt för lagar och föreskrifter.</w:t>
      </w:r>
    </w:p>
    <w:p w14:paraId="450BF922" w14:textId="77777777" w:rsidR="000F2F8C" w:rsidRDefault="000F2F8C" w:rsidP="000F2F8C">
      <w:pPr>
        <w:rPr>
          <w:sz w:val="24"/>
          <w:szCs w:val="24"/>
        </w:rPr>
      </w:pPr>
    </w:p>
    <w:p w14:paraId="5C91B77C" w14:textId="508CCFC8" w:rsidR="001A7185" w:rsidRPr="000F2F8C" w:rsidRDefault="001A7185" w:rsidP="000F2F8C">
      <w:pPr>
        <w:rPr>
          <w:sz w:val="24"/>
          <w:szCs w:val="24"/>
        </w:rPr>
      </w:pPr>
      <w:r w:rsidRPr="000F2F8C">
        <w:rPr>
          <w:sz w:val="24"/>
          <w:szCs w:val="24"/>
        </w:rPr>
        <w:t>Stödmaterialet ska:</w:t>
      </w:r>
    </w:p>
    <w:p w14:paraId="5D38EED4" w14:textId="77777777" w:rsidR="001A7185" w:rsidRPr="000F2F8C" w:rsidRDefault="001A7185" w:rsidP="000F2F8C">
      <w:pPr>
        <w:pStyle w:val="Liststycke"/>
        <w:numPr>
          <w:ilvl w:val="0"/>
          <w:numId w:val="13"/>
        </w:numPr>
        <w:rPr>
          <w:sz w:val="24"/>
          <w:szCs w:val="24"/>
        </w:rPr>
      </w:pPr>
      <w:r w:rsidRPr="000F2F8C">
        <w:rPr>
          <w:sz w:val="24"/>
          <w:szCs w:val="24"/>
        </w:rPr>
        <w:t>vara ett praktiknära kunskaps- och metodstöd som vilar på vetenskaplig grund och beprövad erfarenhet</w:t>
      </w:r>
    </w:p>
    <w:p w14:paraId="6C2F3299" w14:textId="77777777" w:rsidR="001A7185" w:rsidRPr="000F2F8C" w:rsidRDefault="001A7185" w:rsidP="000F2F8C">
      <w:pPr>
        <w:pStyle w:val="Liststycke"/>
        <w:numPr>
          <w:ilvl w:val="0"/>
          <w:numId w:val="13"/>
        </w:numPr>
        <w:rPr>
          <w:sz w:val="24"/>
          <w:szCs w:val="24"/>
        </w:rPr>
      </w:pPr>
      <w:r w:rsidRPr="000F2F8C">
        <w:rPr>
          <w:sz w:val="24"/>
          <w:szCs w:val="24"/>
        </w:rPr>
        <w:t>gälla från förskolan upp till och med vuxenutbildningen</w:t>
      </w:r>
    </w:p>
    <w:p w14:paraId="69B513E3" w14:textId="77777777" w:rsidR="001A7185" w:rsidRPr="000F2F8C" w:rsidRDefault="001A7185" w:rsidP="000F2F8C">
      <w:pPr>
        <w:pStyle w:val="Liststycke"/>
        <w:numPr>
          <w:ilvl w:val="0"/>
          <w:numId w:val="13"/>
        </w:numPr>
        <w:rPr>
          <w:sz w:val="24"/>
          <w:szCs w:val="24"/>
        </w:rPr>
      </w:pPr>
      <w:r w:rsidRPr="000F2F8C">
        <w:rPr>
          <w:sz w:val="24"/>
          <w:szCs w:val="24"/>
        </w:rPr>
        <w:t>vara anpassat efter verksamheternas olika behov och förutsättningar samt efter elevernas ålder och mognad.</w:t>
      </w:r>
    </w:p>
    <w:p w14:paraId="62C8D27D" w14:textId="77777777" w:rsidR="001A7185" w:rsidRPr="000F2F8C" w:rsidRDefault="001A7185" w:rsidP="000F2F8C">
      <w:pPr>
        <w:rPr>
          <w:sz w:val="24"/>
          <w:szCs w:val="24"/>
        </w:rPr>
      </w:pPr>
      <w:r w:rsidRPr="000F2F8C">
        <w:rPr>
          <w:sz w:val="24"/>
          <w:szCs w:val="24"/>
        </w:rPr>
        <w:t>Uppdraget ska redovisas senast den 30 juni 2027.</w:t>
      </w:r>
    </w:p>
    <w:p w14:paraId="507081D1" w14:textId="4F57E0CC" w:rsidR="001A7185" w:rsidRDefault="001A7185">
      <w:hyperlink r:id="rId22" w:history="1">
        <w:r w:rsidRPr="00B855B4">
          <w:rPr>
            <w:rStyle w:val="Hyperlnk"/>
          </w:rPr>
          <w:t>https://www.regeringen.se/pressmeddelanden/2026/04/nytt-stodmaterial-ska-hjalpa-skolor-att-forebygga-kriminalitet/</w:t>
        </w:r>
      </w:hyperlink>
    </w:p>
    <w:p w14:paraId="6FF005F7" w14:textId="77777777" w:rsidR="00A76BB9" w:rsidRDefault="00A76BB9"/>
    <w:p w14:paraId="5462D53F" w14:textId="6388B8EE" w:rsidR="00A76BB9" w:rsidRPr="000F2F8C" w:rsidRDefault="000F2F8C" w:rsidP="000F2F8C">
      <w:pPr>
        <w:rPr>
          <w:b/>
          <w:bCs/>
          <w:sz w:val="32"/>
          <w:szCs w:val="32"/>
        </w:rPr>
      </w:pPr>
      <w:r w:rsidRPr="000F2F8C">
        <w:rPr>
          <w:b/>
          <w:bCs/>
          <w:sz w:val="32"/>
          <w:szCs w:val="32"/>
        </w:rPr>
        <w:t xml:space="preserve">Skolverket: </w:t>
      </w:r>
      <w:r w:rsidR="00A76BB9" w:rsidRPr="000F2F8C">
        <w:rPr>
          <w:b/>
          <w:bCs/>
          <w:sz w:val="32"/>
          <w:szCs w:val="32"/>
        </w:rPr>
        <w:t>Nytt stöd för att motverka sexualbrott</w:t>
      </w:r>
    </w:p>
    <w:p w14:paraId="0798BD50" w14:textId="77777777" w:rsidR="000F2F8C" w:rsidRDefault="000F2F8C" w:rsidP="000F2F8C">
      <w:pPr>
        <w:rPr>
          <w:sz w:val="24"/>
          <w:szCs w:val="24"/>
        </w:rPr>
      </w:pPr>
    </w:p>
    <w:p w14:paraId="23C3A233" w14:textId="55786A74" w:rsidR="000F2F8C" w:rsidRPr="000F2F8C" w:rsidRDefault="000F2F8C" w:rsidP="000F2F8C">
      <w:pPr>
        <w:rPr>
          <w:sz w:val="24"/>
          <w:szCs w:val="24"/>
        </w:rPr>
      </w:pPr>
      <w:r w:rsidRPr="000F2F8C">
        <w:rPr>
          <w:sz w:val="24"/>
          <w:szCs w:val="24"/>
        </w:rPr>
        <w:t>På uppdrag av regeringen har Skolverket tagit fram ett stöd för hur förskolor, skolor, fritidshem och annan pedagogisk verksamhet kan arbeta för att motverka att barn och elever utsätts för sexualbrott eller andra grova brott av en vuxen i verksamheten. Det kompletterar Skolverkets övriga stöd för hur förskolor och skolor kan arbeta för att förebygga olika typer av brott.</w:t>
      </w:r>
    </w:p>
    <w:p w14:paraId="5B121FFC" w14:textId="77777777" w:rsidR="000F2F8C" w:rsidRPr="000F2F8C" w:rsidRDefault="000F2F8C" w:rsidP="000F2F8C">
      <w:pPr>
        <w:rPr>
          <w:sz w:val="24"/>
          <w:szCs w:val="24"/>
        </w:rPr>
      </w:pPr>
      <w:r w:rsidRPr="000F2F8C">
        <w:rPr>
          <w:sz w:val="24"/>
          <w:szCs w:val="24"/>
        </w:rPr>
        <w:t>Stödet innehåller följande delar:</w:t>
      </w:r>
    </w:p>
    <w:p w14:paraId="6161DB4A" w14:textId="77777777" w:rsidR="000F2F8C" w:rsidRPr="00D17FF6" w:rsidRDefault="000F2F8C" w:rsidP="00D17FF6">
      <w:pPr>
        <w:pStyle w:val="Liststycke"/>
        <w:numPr>
          <w:ilvl w:val="0"/>
          <w:numId w:val="15"/>
        </w:numPr>
        <w:rPr>
          <w:sz w:val="24"/>
          <w:szCs w:val="24"/>
        </w:rPr>
      </w:pPr>
      <w:r w:rsidRPr="00D17FF6">
        <w:rPr>
          <w:sz w:val="24"/>
          <w:szCs w:val="24"/>
        </w:rPr>
        <w:t>Skolklimat och arbetsmiljö</w:t>
      </w:r>
    </w:p>
    <w:p w14:paraId="0226906F" w14:textId="77777777" w:rsidR="000F2F8C" w:rsidRPr="00D17FF6" w:rsidRDefault="000F2F8C" w:rsidP="00D17FF6">
      <w:pPr>
        <w:pStyle w:val="Liststycke"/>
        <w:numPr>
          <w:ilvl w:val="0"/>
          <w:numId w:val="15"/>
        </w:numPr>
        <w:rPr>
          <w:sz w:val="24"/>
          <w:szCs w:val="24"/>
        </w:rPr>
      </w:pPr>
      <w:r w:rsidRPr="00D17FF6">
        <w:rPr>
          <w:sz w:val="24"/>
          <w:szCs w:val="24"/>
        </w:rPr>
        <w:t>Lämplighetsprövning vid rekrytering</w:t>
      </w:r>
    </w:p>
    <w:p w14:paraId="1C7FB10B" w14:textId="77777777" w:rsidR="000F2F8C" w:rsidRPr="00D17FF6" w:rsidRDefault="000F2F8C" w:rsidP="00D17FF6">
      <w:pPr>
        <w:pStyle w:val="Liststycke"/>
        <w:numPr>
          <w:ilvl w:val="0"/>
          <w:numId w:val="15"/>
        </w:numPr>
        <w:rPr>
          <w:sz w:val="24"/>
          <w:szCs w:val="24"/>
        </w:rPr>
      </w:pPr>
      <w:r w:rsidRPr="00D17FF6">
        <w:rPr>
          <w:sz w:val="24"/>
          <w:szCs w:val="24"/>
        </w:rPr>
        <w:t>Rutiner och ansvar för annan personal och externa personer</w:t>
      </w:r>
    </w:p>
    <w:p w14:paraId="69B7A7BF" w14:textId="77777777" w:rsidR="000F2F8C" w:rsidRPr="00D17FF6" w:rsidRDefault="000F2F8C" w:rsidP="00D17FF6">
      <w:pPr>
        <w:pStyle w:val="Liststycke"/>
        <w:numPr>
          <w:ilvl w:val="0"/>
          <w:numId w:val="15"/>
        </w:numPr>
        <w:rPr>
          <w:sz w:val="24"/>
          <w:szCs w:val="24"/>
        </w:rPr>
      </w:pPr>
      <w:r w:rsidRPr="00D17FF6">
        <w:rPr>
          <w:sz w:val="24"/>
          <w:szCs w:val="24"/>
        </w:rPr>
        <w:t>Kontroll i belastningsregistret</w:t>
      </w:r>
    </w:p>
    <w:p w14:paraId="45AB366F" w14:textId="77777777" w:rsidR="000F2F8C" w:rsidRPr="00D17FF6" w:rsidRDefault="000F2F8C" w:rsidP="00D17FF6">
      <w:pPr>
        <w:pStyle w:val="Liststycke"/>
        <w:numPr>
          <w:ilvl w:val="0"/>
          <w:numId w:val="15"/>
        </w:numPr>
        <w:rPr>
          <w:sz w:val="24"/>
          <w:szCs w:val="24"/>
        </w:rPr>
      </w:pPr>
      <w:r w:rsidRPr="00D17FF6">
        <w:rPr>
          <w:sz w:val="24"/>
          <w:szCs w:val="24"/>
        </w:rPr>
        <w:t>Rutiner för det vardagliga arbetet</w:t>
      </w:r>
    </w:p>
    <w:p w14:paraId="54541751" w14:textId="77777777" w:rsidR="000F2F8C" w:rsidRPr="00D17FF6" w:rsidRDefault="000F2F8C" w:rsidP="00D17FF6">
      <w:pPr>
        <w:pStyle w:val="Liststycke"/>
        <w:numPr>
          <w:ilvl w:val="0"/>
          <w:numId w:val="15"/>
        </w:numPr>
        <w:rPr>
          <w:sz w:val="24"/>
          <w:szCs w:val="24"/>
        </w:rPr>
      </w:pPr>
      <w:r w:rsidRPr="00D17FF6">
        <w:rPr>
          <w:sz w:val="24"/>
          <w:szCs w:val="24"/>
        </w:rPr>
        <w:t>Lokaler och utemiljö</w:t>
      </w:r>
    </w:p>
    <w:p w14:paraId="390F53D8" w14:textId="77777777" w:rsidR="000F2F8C" w:rsidRPr="00D17FF6" w:rsidRDefault="000F2F8C" w:rsidP="00D17FF6">
      <w:pPr>
        <w:pStyle w:val="Liststycke"/>
        <w:numPr>
          <w:ilvl w:val="0"/>
          <w:numId w:val="15"/>
        </w:numPr>
        <w:rPr>
          <w:sz w:val="24"/>
          <w:szCs w:val="24"/>
        </w:rPr>
      </w:pPr>
      <w:r w:rsidRPr="00D17FF6">
        <w:rPr>
          <w:sz w:val="24"/>
          <w:szCs w:val="24"/>
        </w:rPr>
        <w:t>Kunskaper och kompetens</w:t>
      </w:r>
    </w:p>
    <w:p w14:paraId="6C6C9364" w14:textId="0D0CF632" w:rsidR="000F2F8C" w:rsidRPr="00D17FF6" w:rsidRDefault="000F2F8C" w:rsidP="00D17FF6">
      <w:pPr>
        <w:pStyle w:val="Liststycke"/>
        <w:numPr>
          <w:ilvl w:val="0"/>
          <w:numId w:val="15"/>
        </w:numPr>
        <w:rPr>
          <w:sz w:val="24"/>
          <w:szCs w:val="24"/>
        </w:rPr>
      </w:pPr>
      <w:r w:rsidRPr="00D17FF6">
        <w:rPr>
          <w:sz w:val="24"/>
          <w:szCs w:val="24"/>
        </w:rPr>
        <w:t>När misstanke uppstår</w:t>
      </w:r>
    </w:p>
    <w:p w14:paraId="0710EB4B" w14:textId="77777777" w:rsidR="00A76BB9" w:rsidRPr="00D17FF6" w:rsidRDefault="00A76BB9" w:rsidP="00A76BB9">
      <w:pPr>
        <w:pStyle w:val="Normal1"/>
        <w:spacing w:before="0" w:after="0"/>
        <w:textAlignment w:val="baseline"/>
        <w:rPr>
          <w:rFonts w:ascii="Source Sans Pro" w:hAnsi="Source Sans Pro"/>
          <w:color w:val="262626"/>
          <w:sz w:val="20"/>
          <w:szCs w:val="20"/>
        </w:rPr>
      </w:pPr>
      <w:hyperlink r:id="rId23" w:history="1">
        <w:r w:rsidRPr="00D17FF6">
          <w:rPr>
            <w:rStyle w:val="Hyperlnk"/>
            <w:rFonts w:ascii="inherit" w:hAnsi="inherit"/>
            <w:color w:val="005C93"/>
            <w:sz w:val="20"/>
            <w:szCs w:val="20"/>
            <w:bdr w:val="none" w:sz="0" w:space="0" w:color="auto" w:frame="1"/>
          </w:rPr>
          <w:t>Nytt stödmaterial ska förebygga sexualbrott och andra grova brott i förskolan och skola, regeringens webbplats</w:t>
        </w:r>
      </w:hyperlink>
    </w:p>
    <w:p w14:paraId="692493FC" w14:textId="54C26DC2" w:rsidR="00A76BB9" w:rsidRDefault="00A76BB9" w:rsidP="00A76BB9">
      <w:pPr>
        <w:textAlignment w:val="baseline"/>
        <w:rPr>
          <w:rFonts w:ascii="inherit" w:hAnsi="inherit"/>
        </w:rPr>
      </w:pPr>
      <w:hyperlink r:id="rId24" w:history="1">
        <w:r w:rsidRPr="00D17FF6">
          <w:rPr>
            <w:rStyle w:val="Hyperlnk"/>
            <w:rFonts w:ascii="inherit" w:hAnsi="inherit"/>
          </w:rPr>
          <w:t>https://www.skolverket.se/om-skolverket/nyheter-och-pressmeddelanden/nyheter/nyheter/2026-04-21-nytt-stod-for-att-motverka-sexualbrott</w:t>
        </w:r>
      </w:hyperlink>
    </w:p>
    <w:p w14:paraId="6D7AA25E" w14:textId="77777777" w:rsidR="00D17FF6" w:rsidRPr="00D17FF6" w:rsidRDefault="00D17FF6" w:rsidP="00D17FF6">
      <w:pPr>
        <w:pStyle w:val="Normal1"/>
        <w:spacing w:before="0" w:after="0"/>
        <w:textAlignment w:val="baseline"/>
        <w:rPr>
          <w:rFonts w:ascii="Source Sans Pro" w:hAnsi="Source Sans Pro"/>
          <w:color w:val="262626"/>
          <w:sz w:val="20"/>
          <w:szCs w:val="20"/>
        </w:rPr>
      </w:pPr>
      <w:hyperlink r:id="rId25" w:history="1">
        <w:r w:rsidRPr="00D17FF6">
          <w:rPr>
            <w:rStyle w:val="Hyperlnk"/>
            <w:rFonts w:ascii="inherit" w:hAnsi="inherit"/>
            <w:color w:val="005C93"/>
            <w:sz w:val="20"/>
            <w:szCs w:val="20"/>
            <w:bdr w:val="none" w:sz="0" w:space="0" w:color="auto" w:frame="1"/>
          </w:rPr>
          <w:t>Förebygg sexualbrott och andra grova brott mot barn och elever</w:t>
        </w:r>
      </w:hyperlink>
    </w:p>
    <w:p w14:paraId="531B8213" w14:textId="11DEEDED" w:rsidR="00331AED" w:rsidRDefault="00D17FF6" w:rsidP="005C6F9C">
      <w:pPr>
        <w:pStyle w:val="Normal1"/>
        <w:spacing w:before="0" w:after="0"/>
        <w:textAlignment w:val="baseline"/>
      </w:pPr>
      <w:hyperlink r:id="rId26" w:history="1">
        <w:r w:rsidRPr="00D17FF6">
          <w:rPr>
            <w:rStyle w:val="Hyperlnk"/>
            <w:rFonts w:ascii="inherit" w:hAnsi="inherit"/>
            <w:color w:val="005C93"/>
            <w:sz w:val="20"/>
            <w:szCs w:val="20"/>
            <w:bdr w:val="none" w:sz="0" w:space="0" w:color="auto" w:frame="1"/>
          </w:rPr>
          <w:t>Brottsförebyggande arbete</w:t>
        </w:r>
      </w:hyperlink>
    </w:p>
    <w:p w14:paraId="09A33803" w14:textId="77777777" w:rsidR="005C6F9C" w:rsidRPr="00E72191" w:rsidRDefault="005C6F9C" w:rsidP="005C6F9C">
      <w:pPr>
        <w:rPr>
          <w:b/>
          <w:bCs/>
          <w:sz w:val="32"/>
          <w:szCs w:val="32"/>
        </w:rPr>
      </w:pPr>
      <w:r w:rsidRPr="00E72191">
        <w:rPr>
          <w:b/>
          <w:bCs/>
          <w:sz w:val="32"/>
          <w:szCs w:val="32"/>
        </w:rPr>
        <w:t>SKR: Lägre pensionsavgifter för anställda i välfärden</w:t>
      </w:r>
    </w:p>
    <w:p w14:paraId="55A87F8A" w14:textId="77777777" w:rsidR="005C6F9C" w:rsidRDefault="005C6F9C" w:rsidP="005C6F9C">
      <w:pPr>
        <w:rPr>
          <w:sz w:val="24"/>
          <w:szCs w:val="24"/>
        </w:rPr>
      </w:pPr>
    </w:p>
    <w:p w14:paraId="3C31B0AB" w14:textId="4B7B206C" w:rsidR="005C6F9C" w:rsidRPr="00E72191" w:rsidRDefault="005B2065" w:rsidP="005C6F9C">
      <w:pPr>
        <w:rPr>
          <w:sz w:val="24"/>
          <w:szCs w:val="24"/>
        </w:rPr>
      </w:pPr>
      <w:r>
        <w:rPr>
          <w:sz w:val="24"/>
          <w:szCs w:val="24"/>
        </w:rPr>
        <w:t>SKR och de andra k</w:t>
      </w:r>
      <w:r w:rsidRPr="005B2065">
        <w:rPr>
          <w:sz w:val="24"/>
          <w:szCs w:val="24"/>
        </w:rPr>
        <w:t xml:space="preserve">ollektivavtalsparterna inom den kommunala sektorn är överens om ändringar i tjänstepensionsavtalet </w:t>
      </w:r>
      <w:proofErr w:type="spellStart"/>
      <w:r w:rsidRPr="005B2065">
        <w:rPr>
          <w:sz w:val="24"/>
          <w:szCs w:val="24"/>
        </w:rPr>
        <w:t>AKAP</w:t>
      </w:r>
      <w:proofErr w:type="spellEnd"/>
      <w:r w:rsidRPr="005B2065">
        <w:rPr>
          <w:sz w:val="24"/>
          <w:szCs w:val="24"/>
        </w:rPr>
        <w:noBreakHyphen/>
        <w:t>KR:s Anslutningsvillkor. Ö</w:t>
      </w:r>
      <w:r w:rsidR="005C6F9C" w:rsidRPr="005B2065">
        <w:rPr>
          <w:sz w:val="24"/>
          <w:szCs w:val="24"/>
        </w:rPr>
        <w:t>verenskommelse</w:t>
      </w:r>
      <w:r w:rsidRPr="005B2065">
        <w:rPr>
          <w:sz w:val="24"/>
          <w:szCs w:val="24"/>
        </w:rPr>
        <w:t>n</w:t>
      </w:r>
      <w:r w:rsidR="005C6F9C" w:rsidRPr="005B2065">
        <w:rPr>
          <w:sz w:val="24"/>
          <w:szCs w:val="24"/>
        </w:rPr>
        <w:t xml:space="preserve"> innebär att 1,2</w:t>
      </w:r>
      <w:r w:rsidR="005C6F9C" w:rsidRPr="00E72191">
        <w:rPr>
          <w:sz w:val="24"/>
          <w:szCs w:val="24"/>
        </w:rPr>
        <w:t xml:space="preserve"> miljoner anställda i kommuner och regioner får lägre avgifter för förvaltningen av sin avgiftsbestämda ålderspension.</w:t>
      </w:r>
    </w:p>
    <w:p w14:paraId="59535A4D" w14:textId="77777777" w:rsidR="005C6F9C" w:rsidRDefault="005C6F9C" w:rsidP="005C6F9C">
      <w:pPr>
        <w:rPr>
          <w:sz w:val="24"/>
          <w:szCs w:val="24"/>
        </w:rPr>
      </w:pPr>
      <w:r>
        <w:rPr>
          <w:sz w:val="24"/>
          <w:szCs w:val="24"/>
        </w:rPr>
        <w:t xml:space="preserve"> </w:t>
      </w:r>
    </w:p>
    <w:p w14:paraId="6DBC0F11" w14:textId="77777777" w:rsidR="005C6F9C" w:rsidRDefault="005C6F9C" w:rsidP="005C6F9C">
      <w:pPr>
        <w:rPr>
          <w:sz w:val="24"/>
          <w:szCs w:val="24"/>
        </w:rPr>
      </w:pPr>
      <w:r w:rsidRPr="00E72191">
        <w:rPr>
          <w:sz w:val="24"/>
          <w:szCs w:val="24"/>
        </w:rPr>
        <w:t>Medarbetare i kommuner och regioner får lägre avgifter, vilket på sikt ger förbättrade förutsättningar för ett högre tjänstepensionsutfall. Modellen för avgifter förändras också genom införandet av en enhetlig årlig avgift, vilket ger en mer överskådlig struktur och kan innebära lägre kostnader för den försäkrade.</w:t>
      </w:r>
    </w:p>
    <w:p w14:paraId="629AE9DF" w14:textId="77777777" w:rsidR="005C6F9C" w:rsidRPr="00E72191" w:rsidRDefault="005C6F9C" w:rsidP="005C6F9C">
      <w:pPr>
        <w:rPr>
          <w:sz w:val="24"/>
          <w:szCs w:val="24"/>
        </w:rPr>
      </w:pPr>
    </w:p>
    <w:p w14:paraId="2FF43D25" w14:textId="311D1674" w:rsidR="005C6F9C" w:rsidRDefault="005C6F9C" w:rsidP="005C6F9C">
      <w:hyperlink r:id="rId27" w:history="1">
        <w:r w:rsidRPr="00F739A4">
          <w:rPr>
            <w:rStyle w:val="Hyperlnk"/>
          </w:rPr>
          <w:t>https://skr.se/pressrum/aktuellt/nyhetsarkiv/lagrepensionsavgifterforanstalldaivalfarden.10440.html</w:t>
        </w:r>
      </w:hyperlink>
    </w:p>
    <w:p w14:paraId="6E5F8058" w14:textId="77777777" w:rsidR="005C6F9C" w:rsidRPr="005C6F9C" w:rsidRDefault="005C6F9C" w:rsidP="005C6F9C"/>
    <w:p w14:paraId="50C2535E" w14:textId="51D35532" w:rsidR="00331AED" w:rsidRPr="00E72191" w:rsidRDefault="00D92B8C" w:rsidP="00E72191">
      <w:pPr>
        <w:rPr>
          <w:b/>
          <w:bCs/>
          <w:sz w:val="32"/>
          <w:szCs w:val="32"/>
        </w:rPr>
      </w:pPr>
      <w:r w:rsidRPr="00E72191">
        <w:rPr>
          <w:b/>
          <w:bCs/>
          <w:sz w:val="32"/>
          <w:szCs w:val="32"/>
        </w:rPr>
        <w:t xml:space="preserve">Fackförbundet </w:t>
      </w:r>
      <w:r w:rsidR="00331AED" w:rsidRPr="00E72191">
        <w:rPr>
          <w:b/>
          <w:bCs/>
          <w:sz w:val="32"/>
          <w:szCs w:val="32"/>
        </w:rPr>
        <w:t>Sveriges lärare</w:t>
      </w:r>
      <w:r w:rsidRPr="00E72191">
        <w:rPr>
          <w:b/>
          <w:bCs/>
          <w:sz w:val="32"/>
          <w:szCs w:val="32"/>
        </w:rPr>
        <w:t>: Rapport om kränkningar och våld</w:t>
      </w:r>
      <w:r w:rsidR="00E72191" w:rsidRPr="00E72191">
        <w:rPr>
          <w:b/>
          <w:bCs/>
          <w:sz w:val="32"/>
          <w:szCs w:val="32"/>
        </w:rPr>
        <w:t xml:space="preserve"> bland elever</w:t>
      </w:r>
    </w:p>
    <w:p w14:paraId="42CD17C3" w14:textId="29045CBD" w:rsidR="00331AED" w:rsidRPr="00E72191" w:rsidRDefault="00D92B8C" w:rsidP="00E72191">
      <w:pPr>
        <w:rPr>
          <w:sz w:val="24"/>
          <w:szCs w:val="24"/>
        </w:rPr>
      </w:pPr>
      <w:r w:rsidRPr="00E72191">
        <w:rPr>
          <w:sz w:val="24"/>
          <w:szCs w:val="24"/>
        </w:rPr>
        <w:t xml:space="preserve"> </w:t>
      </w:r>
    </w:p>
    <w:p w14:paraId="3CD837C1" w14:textId="58729D32" w:rsidR="00E72191" w:rsidRDefault="00E72191" w:rsidP="00E72191">
      <w:pPr>
        <w:rPr>
          <w:rFonts w:ascii="Georgia" w:hAnsi="Georgia"/>
          <w:color w:val="352F27"/>
          <w:sz w:val="30"/>
          <w:szCs w:val="30"/>
        </w:rPr>
      </w:pPr>
      <w:r w:rsidRPr="00E72191">
        <w:rPr>
          <w:sz w:val="24"/>
          <w:szCs w:val="24"/>
        </w:rPr>
        <w:t xml:space="preserve">Sveriges lärare har presenterat </w:t>
      </w:r>
      <w:r w:rsidR="00D92B8C" w:rsidRPr="00E72191">
        <w:rPr>
          <w:sz w:val="24"/>
          <w:szCs w:val="24"/>
        </w:rPr>
        <w:t>en rapport om h</w:t>
      </w:r>
      <w:r w:rsidR="00331AED" w:rsidRPr="00E72191">
        <w:rPr>
          <w:sz w:val="24"/>
          <w:szCs w:val="24"/>
        </w:rPr>
        <w:t xml:space="preserve">ot, kränkningar och våld mellan elever </w:t>
      </w:r>
      <w:r w:rsidRPr="00E72191">
        <w:rPr>
          <w:sz w:val="24"/>
          <w:szCs w:val="24"/>
        </w:rPr>
        <w:t>”</w:t>
      </w:r>
      <w:r w:rsidR="00331AED" w:rsidRPr="00E72191">
        <w:rPr>
          <w:sz w:val="24"/>
          <w:szCs w:val="24"/>
        </w:rPr>
        <w:t>Skolan som slagfält</w:t>
      </w:r>
      <w:r w:rsidRPr="00E72191">
        <w:rPr>
          <w:sz w:val="24"/>
          <w:szCs w:val="24"/>
        </w:rPr>
        <w:t xml:space="preserve">”. Rapporten beskriver att hot och våld i skolan är ett växande problem och att det finns ett samband med </w:t>
      </w:r>
      <w:r>
        <w:rPr>
          <w:sz w:val="24"/>
          <w:szCs w:val="24"/>
        </w:rPr>
        <w:t xml:space="preserve">ekonomiska </w:t>
      </w:r>
      <w:r w:rsidRPr="00E72191">
        <w:rPr>
          <w:sz w:val="24"/>
          <w:szCs w:val="24"/>
        </w:rPr>
        <w:t>nedskärningar.</w:t>
      </w:r>
      <w:r w:rsidRPr="00E72191">
        <w:rPr>
          <w:rFonts w:ascii="Georgia" w:hAnsi="Georgia"/>
          <w:color w:val="352F27"/>
          <w:sz w:val="24"/>
          <w:szCs w:val="24"/>
        </w:rPr>
        <w:t xml:space="preserve"> </w:t>
      </w:r>
    </w:p>
    <w:p w14:paraId="267F461F" w14:textId="25C945B5" w:rsidR="00331AED" w:rsidRDefault="00331AED" w:rsidP="00E72191">
      <w:pPr>
        <w:pStyle w:val="preamble"/>
        <w:spacing w:before="0" w:beforeAutospacing="0" w:after="0" w:afterAutospacing="0"/>
        <w:rPr>
          <w:rFonts w:ascii="Georgia" w:hAnsi="Georgia"/>
          <w:color w:val="352F27"/>
          <w:sz w:val="30"/>
          <w:szCs w:val="30"/>
        </w:rPr>
      </w:pPr>
    </w:p>
    <w:p w14:paraId="2E10CE1A" w14:textId="68EEA830" w:rsidR="00331AED" w:rsidRPr="00E72191" w:rsidRDefault="00331AED" w:rsidP="00331AED">
      <w:pPr>
        <w:rPr>
          <w:rFonts w:ascii="Georgia" w:hAnsi="Georgia"/>
          <w:color w:val="352F27"/>
        </w:rPr>
      </w:pPr>
      <w:r w:rsidRPr="00E72191">
        <w:rPr>
          <w:rFonts w:ascii="Georgia" w:hAnsi="Georgia"/>
          <w:color w:val="352F27"/>
        </w:rPr>
        <w:t>https://www.sverigeslarare.se/om-oss/opinion-debatt/undersokningar/skolan-som-slagfalt/</w:t>
      </w:r>
    </w:p>
    <w:p w14:paraId="64885115" w14:textId="77777777" w:rsidR="00331AED" w:rsidRPr="00E72191" w:rsidRDefault="00331AED" w:rsidP="00A76BB9">
      <w:pPr>
        <w:textAlignment w:val="baseline"/>
        <w:rPr>
          <w:rFonts w:ascii="inherit" w:hAnsi="inherit"/>
        </w:rPr>
      </w:pPr>
    </w:p>
    <w:p w14:paraId="20DE02C1" w14:textId="5B523FC4" w:rsidR="00331AED" w:rsidRPr="00E72191" w:rsidRDefault="00331AED" w:rsidP="00A76BB9">
      <w:pPr>
        <w:textAlignment w:val="baseline"/>
        <w:rPr>
          <w:rFonts w:ascii="inherit" w:hAnsi="inherit"/>
        </w:rPr>
      </w:pPr>
      <w:r w:rsidRPr="00E72191">
        <w:rPr>
          <w:rFonts w:ascii="inherit" w:hAnsi="inherit"/>
        </w:rPr>
        <w:t>https://lararpdf.tmkontor.se/sv/sveriges-larare/trycksaker/sveriges-larare/undersokningar/skolan-som-slagfalt-pdf.html</w:t>
      </w:r>
    </w:p>
    <w:p w14:paraId="382CA671" w14:textId="77777777" w:rsidR="00A76BB9" w:rsidRDefault="00A76BB9"/>
    <w:p w14:paraId="2AA8BBEC" w14:textId="77777777" w:rsidR="00793C0B" w:rsidRDefault="00793C0B"/>
    <w:sectPr w:rsidR="00793C0B" w:rsidSect="00FC6D40">
      <w:headerReference w:type="default" r:id="rId2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DB42" w14:textId="77777777" w:rsidR="000B3546" w:rsidRDefault="000B3546">
      <w:r>
        <w:separator/>
      </w:r>
    </w:p>
  </w:endnote>
  <w:endnote w:type="continuationSeparator" w:id="0">
    <w:p w14:paraId="24DFF69A" w14:textId="77777777" w:rsidR="000B3546" w:rsidRDefault="000B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66F9" w14:textId="77777777" w:rsidR="000B3546" w:rsidRDefault="000B3546">
      <w:r>
        <w:separator/>
      </w:r>
    </w:p>
  </w:footnote>
  <w:footnote w:type="continuationSeparator" w:id="0">
    <w:p w14:paraId="59DD3651" w14:textId="77777777" w:rsidR="000B3546" w:rsidRDefault="000B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0F87" w14:textId="77777777" w:rsidR="00FC6D40" w:rsidRDefault="00FC6D40">
    <w:pPr>
      <w:pStyle w:val="Rubrik6"/>
    </w:pPr>
    <w:r>
      <w:rPr>
        <w:noProof/>
      </w:rPr>
      <w:drawing>
        <wp:anchor distT="0" distB="0" distL="114300" distR="114300" simplePos="0" relativeHeight="251659264" behindDoc="0" locked="0" layoutInCell="0" allowOverlap="1" wp14:anchorId="621C9294" wp14:editId="7D301FB0">
          <wp:simplePos x="0" y="0"/>
          <wp:positionH relativeFrom="column">
            <wp:posOffset>-167641</wp:posOffset>
          </wp:positionH>
          <wp:positionV relativeFrom="paragraph">
            <wp:posOffset>7620</wp:posOffset>
          </wp:positionV>
          <wp:extent cx="2783383" cy="795020"/>
          <wp:effectExtent l="0" t="0" r="1079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7508" t="48705" r="25005" b="30441"/>
                  <a:stretch>
                    <a:fillRect/>
                  </a:stretch>
                </pic:blipFill>
                <pic:spPr bwMode="auto">
                  <a:xfrm>
                    <a:off x="0" y="0"/>
                    <a:ext cx="2783383" cy="795020"/>
                  </a:xfrm>
                  <a:prstGeom prst="rect">
                    <a:avLst/>
                  </a:prstGeom>
                  <a:noFill/>
                </pic:spPr>
              </pic:pic>
            </a:graphicData>
          </a:graphic>
          <wp14:sizeRelH relativeFrom="margin">
            <wp14:pctWidth>0</wp14:pctWidth>
          </wp14:sizeRelH>
          <wp14:sizeRelV relativeFrom="margin">
            <wp14:pctHeight>0</wp14:pctHeight>
          </wp14:sizeRelV>
        </wp:anchor>
      </w:drawing>
    </w:r>
  </w:p>
  <w:p w14:paraId="0ABF730E" w14:textId="77777777" w:rsidR="00FC6D40" w:rsidRDefault="00FC6D40">
    <w:pPr>
      <w:pStyle w:val="Sidhuvud"/>
      <w:tabs>
        <w:tab w:val="clear" w:pos="4536"/>
        <w:tab w:val="clear" w:pos="9072"/>
      </w:tabs>
    </w:pPr>
  </w:p>
  <w:p w14:paraId="6DAD9EB9" w14:textId="77777777" w:rsidR="00FC6D40" w:rsidRDefault="00FC6D40">
    <w:pPr>
      <w:pStyle w:val="Brdtext"/>
    </w:pPr>
  </w:p>
  <w:p w14:paraId="38AF19B7" w14:textId="77777777" w:rsidR="00FC6D40" w:rsidRDefault="00FC6D40">
    <w:pPr>
      <w:rPr>
        <w:sz w:val="24"/>
      </w:rPr>
    </w:pPr>
    <w:r>
      <w:rPr>
        <w:sz w:val="24"/>
      </w:rPr>
      <w:tab/>
    </w:r>
    <w:r>
      <w:rPr>
        <w:sz w:val="24"/>
      </w:rPr>
      <w:tab/>
    </w:r>
    <w:r>
      <w:rPr>
        <w:sz w:val="24"/>
      </w:rPr>
      <w:tab/>
    </w:r>
    <w:r>
      <w:rPr>
        <w:sz w:val="24"/>
      </w:rPr>
      <w:tab/>
    </w:r>
    <w:r>
      <w:rPr>
        <w:sz w:val="24"/>
      </w:rPr>
      <w:tab/>
    </w:r>
    <w:r>
      <w:rPr>
        <w:sz w:val="24"/>
      </w:rPr>
      <w:tab/>
    </w:r>
  </w:p>
  <w:p w14:paraId="307A5AB9" w14:textId="77777777" w:rsidR="00FC6D40" w:rsidRDefault="00FC6D40"/>
  <w:p w14:paraId="60F72B7E" w14:textId="77777777" w:rsidR="00FC6D40" w:rsidRDefault="00FC6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70AB"/>
    <w:multiLevelType w:val="multilevel"/>
    <w:tmpl w:val="24A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42089"/>
    <w:multiLevelType w:val="multilevel"/>
    <w:tmpl w:val="CB9E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5B53"/>
    <w:multiLevelType w:val="multilevel"/>
    <w:tmpl w:val="B11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E4A21"/>
    <w:multiLevelType w:val="multilevel"/>
    <w:tmpl w:val="23E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14933"/>
    <w:multiLevelType w:val="multilevel"/>
    <w:tmpl w:val="FFE4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C0732"/>
    <w:multiLevelType w:val="multilevel"/>
    <w:tmpl w:val="88FC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18086D"/>
    <w:multiLevelType w:val="multilevel"/>
    <w:tmpl w:val="BD9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32438"/>
    <w:multiLevelType w:val="multilevel"/>
    <w:tmpl w:val="6910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93B1E"/>
    <w:multiLevelType w:val="hybridMultilevel"/>
    <w:tmpl w:val="7730C6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5B84C5C"/>
    <w:multiLevelType w:val="hybridMultilevel"/>
    <w:tmpl w:val="57BE7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4E3315"/>
    <w:multiLevelType w:val="hybridMultilevel"/>
    <w:tmpl w:val="C9649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8783FDC"/>
    <w:multiLevelType w:val="hybridMultilevel"/>
    <w:tmpl w:val="232E1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D55397"/>
    <w:multiLevelType w:val="hybridMultilevel"/>
    <w:tmpl w:val="257678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754002"/>
    <w:multiLevelType w:val="multilevel"/>
    <w:tmpl w:val="842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634CE"/>
    <w:multiLevelType w:val="multilevel"/>
    <w:tmpl w:val="E31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8337F"/>
    <w:multiLevelType w:val="hybridMultilevel"/>
    <w:tmpl w:val="8E469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5477DCB"/>
    <w:multiLevelType w:val="multilevel"/>
    <w:tmpl w:val="56E0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846A9"/>
    <w:multiLevelType w:val="multilevel"/>
    <w:tmpl w:val="FE84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808515">
    <w:abstractNumId w:val="17"/>
  </w:num>
  <w:num w:numId="2" w16cid:durableId="272640514">
    <w:abstractNumId w:val="7"/>
  </w:num>
  <w:num w:numId="3" w16cid:durableId="438063727">
    <w:abstractNumId w:val="14"/>
  </w:num>
  <w:num w:numId="4" w16cid:durableId="2116172850">
    <w:abstractNumId w:val="1"/>
  </w:num>
  <w:num w:numId="5" w16cid:durableId="949824368">
    <w:abstractNumId w:val="0"/>
  </w:num>
  <w:num w:numId="6" w16cid:durableId="1078478806">
    <w:abstractNumId w:val="16"/>
  </w:num>
  <w:num w:numId="7" w16cid:durableId="293756087">
    <w:abstractNumId w:val="3"/>
  </w:num>
  <w:num w:numId="8" w16cid:durableId="584581668">
    <w:abstractNumId w:val="2"/>
  </w:num>
  <w:num w:numId="9" w16cid:durableId="1433553399">
    <w:abstractNumId w:val="4"/>
  </w:num>
  <w:num w:numId="10" w16cid:durableId="1721128079">
    <w:abstractNumId w:val="6"/>
  </w:num>
  <w:num w:numId="11" w16cid:durableId="1643537014">
    <w:abstractNumId w:val="5"/>
  </w:num>
  <w:num w:numId="12" w16cid:durableId="153036475">
    <w:abstractNumId w:val="13"/>
  </w:num>
  <w:num w:numId="13" w16cid:durableId="555823062">
    <w:abstractNumId w:val="12"/>
  </w:num>
  <w:num w:numId="14" w16cid:durableId="86007609">
    <w:abstractNumId w:val="10"/>
  </w:num>
  <w:num w:numId="15" w16cid:durableId="1445882682">
    <w:abstractNumId w:val="15"/>
  </w:num>
  <w:num w:numId="16" w16cid:durableId="1319919110">
    <w:abstractNumId w:val="8"/>
  </w:num>
  <w:num w:numId="17" w16cid:durableId="512379370">
    <w:abstractNumId w:val="9"/>
  </w:num>
  <w:num w:numId="18" w16cid:durableId="925649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40"/>
    <w:rsid w:val="0006570C"/>
    <w:rsid w:val="000B3546"/>
    <w:rsid w:val="000F2F8C"/>
    <w:rsid w:val="0015183A"/>
    <w:rsid w:val="0017444B"/>
    <w:rsid w:val="001A7185"/>
    <w:rsid w:val="001D57E2"/>
    <w:rsid w:val="0024021D"/>
    <w:rsid w:val="00245D84"/>
    <w:rsid w:val="002D6955"/>
    <w:rsid w:val="00331AED"/>
    <w:rsid w:val="003A617F"/>
    <w:rsid w:val="003C2FBF"/>
    <w:rsid w:val="004B14D3"/>
    <w:rsid w:val="005733E1"/>
    <w:rsid w:val="0059651D"/>
    <w:rsid w:val="005B2065"/>
    <w:rsid w:val="005C6F9C"/>
    <w:rsid w:val="005F2A46"/>
    <w:rsid w:val="00605AC1"/>
    <w:rsid w:val="00674E41"/>
    <w:rsid w:val="00793C0B"/>
    <w:rsid w:val="007A0C8D"/>
    <w:rsid w:val="00872AD5"/>
    <w:rsid w:val="008A7D50"/>
    <w:rsid w:val="00A76BB9"/>
    <w:rsid w:val="00B825BE"/>
    <w:rsid w:val="00BF1E19"/>
    <w:rsid w:val="00C66E67"/>
    <w:rsid w:val="00D17FF6"/>
    <w:rsid w:val="00D92B8C"/>
    <w:rsid w:val="00E458C1"/>
    <w:rsid w:val="00E72191"/>
    <w:rsid w:val="00FC6D40"/>
    <w:rsid w:val="00FE3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B6108A3"/>
  <w15:chartTrackingRefBased/>
  <w15:docId w15:val="{97D304C4-F39D-6D4B-BDE1-F7E99AF6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D40"/>
    <w:rPr>
      <w:rFonts w:ascii="Times New Roman" w:eastAsia="Times New Roman" w:hAnsi="Times New Roman" w:cs="Times New Roman"/>
      <w:kern w:val="0"/>
      <w:sz w:val="20"/>
      <w:szCs w:val="20"/>
      <w:lang w:eastAsia="sv-SE"/>
      <w14:ligatures w14:val="none"/>
    </w:rPr>
  </w:style>
  <w:style w:type="paragraph" w:styleId="Rubrik1">
    <w:name w:val="heading 1"/>
    <w:basedOn w:val="Normal"/>
    <w:next w:val="Normal"/>
    <w:link w:val="Rubrik1Char"/>
    <w:uiPriority w:val="9"/>
    <w:qFormat/>
    <w:rsid w:val="00FC6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C6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C6D4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C6D4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C6D4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nhideWhenUsed/>
    <w:qFormat/>
    <w:rsid w:val="00FC6D4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C6D4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C6D4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C6D4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6D4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C6D4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C6D4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C6D4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C6D4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C6D4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C6D4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C6D4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C6D40"/>
    <w:rPr>
      <w:rFonts w:eastAsiaTheme="majorEastAsia" w:cstheme="majorBidi"/>
      <w:color w:val="272727" w:themeColor="text1" w:themeTint="D8"/>
    </w:rPr>
  </w:style>
  <w:style w:type="paragraph" w:styleId="Rubrik">
    <w:name w:val="Title"/>
    <w:basedOn w:val="Normal"/>
    <w:next w:val="Normal"/>
    <w:link w:val="RubrikChar"/>
    <w:uiPriority w:val="10"/>
    <w:qFormat/>
    <w:rsid w:val="00FC6D4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C6D4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C6D4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C6D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6D40"/>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FC6D40"/>
    <w:rPr>
      <w:i/>
      <w:iCs/>
      <w:color w:val="404040" w:themeColor="text1" w:themeTint="BF"/>
    </w:rPr>
  </w:style>
  <w:style w:type="paragraph" w:styleId="Liststycke">
    <w:name w:val="List Paragraph"/>
    <w:basedOn w:val="Normal"/>
    <w:uiPriority w:val="34"/>
    <w:qFormat/>
    <w:rsid w:val="00FC6D40"/>
    <w:pPr>
      <w:ind w:left="720"/>
      <w:contextualSpacing/>
    </w:pPr>
  </w:style>
  <w:style w:type="character" w:styleId="Starkbetoning">
    <w:name w:val="Intense Emphasis"/>
    <w:basedOn w:val="Standardstycketeckensnitt"/>
    <w:uiPriority w:val="21"/>
    <w:qFormat/>
    <w:rsid w:val="00FC6D40"/>
    <w:rPr>
      <w:i/>
      <w:iCs/>
      <w:color w:val="0F4761" w:themeColor="accent1" w:themeShade="BF"/>
    </w:rPr>
  </w:style>
  <w:style w:type="paragraph" w:styleId="Starktcitat">
    <w:name w:val="Intense Quote"/>
    <w:basedOn w:val="Normal"/>
    <w:next w:val="Normal"/>
    <w:link w:val="StarktcitatChar"/>
    <w:uiPriority w:val="30"/>
    <w:qFormat/>
    <w:rsid w:val="00FC6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C6D40"/>
    <w:rPr>
      <w:i/>
      <w:iCs/>
      <w:color w:val="0F4761" w:themeColor="accent1" w:themeShade="BF"/>
    </w:rPr>
  </w:style>
  <w:style w:type="character" w:styleId="Starkreferens">
    <w:name w:val="Intense Reference"/>
    <w:basedOn w:val="Standardstycketeckensnitt"/>
    <w:uiPriority w:val="32"/>
    <w:qFormat/>
    <w:rsid w:val="00FC6D40"/>
    <w:rPr>
      <w:b/>
      <w:bCs/>
      <w:smallCaps/>
      <w:color w:val="0F4761" w:themeColor="accent1" w:themeShade="BF"/>
      <w:spacing w:val="5"/>
    </w:rPr>
  </w:style>
  <w:style w:type="paragraph" w:styleId="Brdtext">
    <w:name w:val="Body Text"/>
    <w:basedOn w:val="Normal"/>
    <w:link w:val="BrdtextChar"/>
    <w:rsid w:val="00FC6D40"/>
    <w:rPr>
      <w:sz w:val="24"/>
    </w:rPr>
  </w:style>
  <w:style w:type="character" w:customStyle="1" w:styleId="BrdtextChar">
    <w:name w:val="Brödtext Char"/>
    <w:basedOn w:val="Standardstycketeckensnitt"/>
    <w:link w:val="Brdtext"/>
    <w:rsid w:val="00FC6D40"/>
    <w:rPr>
      <w:rFonts w:ascii="Times New Roman" w:eastAsia="Times New Roman" w:hAnsi="Times New Roman" w:cs="Times New Roman"/>
      <w:kern w:val="0"/>
      <w:szCs w:val="20"/>
      <w:lang w:eastAsia="sv-SE"/>
      <w14:ligatures w14:val="none"/>
    </w:rPr>
  </w:style>
  <w:style w:type="paragraph" w:styleId="Sidhuvud">
    <w:name w:val="header"/>
    <w:basedOn w:val="Normal"/>
    <w:link w:val="SidhuvudChar"/>
    <w:rsid w:val="00FC6D40"/>
    <w:pPr>
      <w:tabs>
        <w:tab w:val="center" w:pos="4536"/>
        <w:tab w:val="right" w:pos="9072"/>
      </w:tabs>
    </w:pPr>
  </w:style>
  <w:style w:type="character" w:customStyle="1" w:styleId="SidhuvudChar">
    <w:name w:val="Sidhuvud Char"/>
    <w:basedOn w:val="Standardstycketeckensnitt"/>
    <w:link w:val="Sidhuvud"/>
    <w:rsid w:val="00FC6D40"/>
    <w:rPr>
      <w:rFonts w:ascii="Times New Roman" w:eastAsia="Times New Roman" w:hAnsi="Times New Roman" w:cs="Times New Roman"/>
      <w:kern w:val="0"/>
      <w:sz w:val="20"/>
      <w:szCs w:val="20"/>
      <w:lang w:eastAsia="sv-SE"/>
      <w14:ligatures w14:val="none"/>
    </w:rPr>
  </w:style>
  <w:style w:type="paragraph" w:styleId="Normalwebb">
    <w:name w:val="Normal (Web)"/>
    <w:basedOn w:val="Normal"/>
    <w:uiPriority w:val="99"/>
    <w:unhideWhenUsed/>
    <w:rsid w:val="00FC6D40"/>
    <w:pPr>
      <w:spacing w:before="100" w:beforeAutospacing="1" w:after="100" w:afterAutospacing="1"/>
    </w:pPr>
    <w:rPr>
      <w:sz w:val="24"/>
      <w:szCs w:val="24"/>
    </w:rPr>
  </w:style>
  <w:style w:type="character" w:customStyle="1" w:styleId="published">
    <w:name w:val="published"/>
    <w:basedOn w:val="Standardstycketeckensnitt"/>
    <w:rsid w:val="00FC6D40"/>
  </w:style>
  <w:style w:type="character" w:customStyle="1" w:styleId="apple-converted-space">
    <w:name w:val="apple-converted-space"/>
    <w:basedOn w:val="Standardstycketeckensnitt"/>
    <w:rsid w:val="00FC6D40"/>
  </w:style>
  <w:style w:type="paragraph" w:customStyle="1" w:styleId="ingress">
    <w:name w:val="ingress"/>
    <w:basedOn w:val="Normal"/>
    <w:rsid w:val="00FC6D40"/>
    <w:pPr>
      <w:spacing w:before="100" w:beforeAutospacing="1" w:after="100" w:afterAutospacing="1"/>
    </w:pPr>
    <w:rPr>
      <w:sz w:val="24"/>
      <w:szCs w:val="24"/>
    </w:rPr>
  </w:style>
  <w:style w:type="character" w:styleId="Hyperlnk">
    <w:name w:val="Hyperlink"/>
    <w:basedOn w:val="Standardstycketeckensnitt"/>
    <w:uiPriority w:val="99"/>
    <w:unhideWhenUsed/>
    <w:rsid w:val="00FC6D40"/>
    <w:rPr>
      <w:color w:val="467886" w:themeColor="hyperlink"/>
      <w:u w:val="single"/>
    </w:rPr>
  </w:style>
  <w:style w:type="character" w:styleId="Olstomnmnande">
    <w:name w:val="Unresolved Mention"/>
    <w:basedOn w:val="Standardstycketeckensnitt"/>
    <w:uiPriority w:val="99"/>
    <w:semiHidden/>
    <w:unhideWhenUsed/>
    <w:rsid w:val="00FC6D40"/>
    <w:rPr>
      <w:color w:val="605E5C"/>
      <w:shd w:val="clear" w:color="auto" w:fill="E1DFDD"/>
    </w:rPr>
  </w:style>
  <w:style w:type="character" w:styleId="Stark">
    <w:name w:val="Strong"/>
    <w:basedOn w:val="Standardstycketeckensnitt"/>
    <w:uiPriority w:val="22"/>
    <w:qFormat/>
    <w:rsid w:val="00FC6D40"/>
    <w:rPr>
      <w:b/>
      <w:bCs/>
    </w:rPr>
  </w:style>
  <w:style w:type="character" w:styleId="AnvndHyperlnk">
    <w:name w:val="FollowedHyperlink"/>
    <w:basedOn w:val="Standardstycketeckensnitt"/>
    <w:uiPriority w:val="99"/>
    <w:semiHidden/>
    <w:unhideWhenUsed/>
    <w:rsid w:val="00FC6D40"/>
    <w:rPr>
      <w:color w:val="96607D" w:themeColor="followedHyperlink"/>
      <w:u w:val="single"/>
    </w:rPr>
  </w:style>
  <w:style w:type="paragraph" w:customStyle="1" w:styleId="sv-font-introtext">
    <w:name w:val="sv-font-introtext"/>
    <w:basedOn w:val="Normal"/>
    <w:rsid w:val="001A7185"/>
    <w:pPr>
      <w:spacing w:before="100" w:beforeAutospacing="1" w:after="100" w:afterAutospacing="1"/>
    </w:pPr>
    <w:rPr>
      <w:sz w:val="24"/>
      <w:szCs w:val="24"/>
    </w:rPr>
  </w:style>
  <w:style w:type="paragraph" w:customStyle="1" w:styleId="Normal1">
    <w:name w:val="Normal1"/>
    <w:basedOn w:val="Normal"/>
    <w:rsid w:val="001A7185"/>
    <w:pPr>
      <w:spacing w:before="100" w:beforeAutospacing="1" w:after="100" w:afterAutospacing="1"/>
    </w:pPr>
    <w:rPr>
      <w:sz w:val="24"/>
      <w:szCs w:val="24"/>
    </w:rPr>
  </w:style>
  <w:style w:type="paragraph" w:customStyle="1" w:styleId="env-text-caption-01">
    <w:name w:val="env-text-caption-01"/>
    <w:basedOn w:val="Normal"/>
    <w:rsid w:val="00A76BB9"/>
    <w:pPr>
      <w:spacing w:before="100" w:beforeAutospacing="1" w:after="100" w:afterAutospacing="1"/>
    </w:pPr>
    <w:rPr>
      <w:sz w:val="24"/>
      <w:szCs w:val="24"/>
    </w:rPr>
  </w:style>
  <w:style w:type="character" w:customStyle="1" w:styleId="sv-image-caption">
    <w:name w:val="sv-image-caption"/>
    <w:basedOn w:val="Standardstycketeckensnitt"/>
    <w:rsid w:val="00A76BB9"/>
  </w:style>
  <w:style w:type="paragraph" w:customStyle="1" w:styleId="sv-font-datum">
    <w:name w:val="sv-font-datum"/>
    <w:basedOn w:val="Normal"/>
    <w:rsid w:val="00A76BB9"/>
    <w:pPr>
      <w:spacing w:before="100" w:beforeAutospacing="1" w:after="100" w:afterAutospacing="1"/>
    </w:pPr>
    <w:rPr>
      <w:sz w:val="24"/>
      <w:szCs w:val="24"/>
    </w:rPr>
  </w:style>
  <w:style w:type="paragraph" w:customStyle="1" w:styleId="preamble">
    <w:name w:val="preamble"/>
    <w:basedOn w:val="Normal"/>
    <w:rsid w:val="00331AED"/>
    <w:pPr>
      <w:spacing w:before="100" w:beforeAutospacing="1" w:after="100" w:afterAutospacing="1"/>
    </w:pPr>
    <w:rPr>
      <w:sz w:val="24"/>
      <w:szCs w:val="24"/>
    </w:rPr>
  </w:style>
  <w:style w:type="character" w:styleId="Betoning">
    <w:name w:val="Emphasis"/>
    <w:basedOn w:val="Standardstycketeckensnitt"/>
    <w:uiPriority w:val="20"/>
    <w:qFormat/>
    <w:rsid w:val="00793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eringen.se/pressmeddelanden/2026/04/presstraff-om-satsningar-inom-utbildningsomradet/" TargetMode="External"/><Relationship Id="rId13" Type="http://schemas.openxmlformats.org/officeDocument/2006/relationships/hyperlink" Target="https://www.skolverket.se/om-skolverket/nyheter-och-pressmeddelanden/nyheter/nyheter/2026-04-08-lararbehorigheten-okar" TargetMode="External"/><Relationship Id="rId18" Type="http://schemas.openxmlformats.org/officeDocument/2006/relationships/hyperlink" Target="https://www.regeringen.se/pressmeddelanden/2026/04/regeringen-vill-starka-svenskan-i-aldreomsorgen-genom-yrkesnara-undervisning-i-komvux/" TargetMode="External"/><Relationship Id="rId26" Type="http://schemas.openxmlformats.org/officeDocument/2006/relationships/hyperlink" Target="https://www.skolverket.se/larande-och-trygghet/trygghet-vardegrund-och-arbetsmiljo/brottsforebyggande-arbete" TargetMode="External"/><Relationship Id="rId3" Type="http://schemas.openxmlformats.org/officeDocument/2006/relationships/settings" Target="settings.xml"/><Relationship Id="rId21" Type="http://schemas.openxmlformats.org/officeDocument/2006/relationships/hyperlink" Target="https://www.regeringen.se/pressmeddelanden/2026/04/nytt-uppdrag-for-att-starka-skolans-brottsforebyggande-arbete/" TargetMode="External"/><Relationship Id="rId7" Type="http://schemas.openxmlformats.org/officeDocument/2006/relationships/hyperlink" Target="https://www.regeringen.se/pressmeddelanden/2026/04/regeringen-foreslar-spraksatsningar-i-skolan/" TargetMode="External"/><Relationship Id="rId12" Type="http://schemas.openxmlformats.org/officeDocument/2006/relationships/hyperlink" Target="https://www.skolverket.se/sok-publikationer/publikationsserier/beskrivande-statistik/2026/pedagogisk-personal-i-skola-och-vuxenutbildning---lasaret-2025-26" TargetMode="External"/><Relationship Id="rId17" Type="http://schemas.openxmlformats.org/officeDocument/2006/relationships/hyperlink" Target="https://www.skolverket.se/om-skolverket/nyheter-och-pressmeddelanden/nyheter/nyheter/2026-04-28-regeringens-expertgrupp-far-en-mer-central-roll-i-laroplansarbetet" TargetMode="External"/><Relationship Id="rId25" Type="http://schemas.openxmlformats.org/officeDocument/2006/relationships/hyperlink" Target="https://www.skolverket.se/larande-och-trygghet/trygghet-vardegrund-och-arbetsmiljo/brottsforebyggande-arbete/forebygg-sexualbrott-och-andra-grova-brott-mot-barn-och-elever" TargetMode="External"/><Relationship Id="rId2" Type="http://schemas.openxmlformats.org/officeDocument/2006/relationships/styles" Target="styles.xml"/><Relationship Id="rId16" Type="http://schemas.openxmlformats.org/officeDocument/2006/relationships/hyperlink" Target="https://www.skolverket.se/om-skolverket/nyheter-och-pressmeddelanden/nyheter/nyheter/2026-04-20-skolverket-starker-arbetet-med-vetenskaplig-grund" TargetMode="External"/><Relationship Id="rId20" Type="http://schemas.openxmlformats.org/officeDocument/2006/relationships/hyperlink" Target="https://www.regeringen.se/pressmeddelanden/2026/04/skolverket-far-i-uppdrag-att-stodja-en-starkt-trygghet-och-studiero-i-skola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olverket.se/om-skolverket/nyheter-och-pressmeddelanden/nyheter/nyheter/2026-04-16-antalet-inskrivna-barn-i-forskolan-fortsatter-att-minska" TargetMode="External"/><Relationship Id="rId24" Type="http://schemas.openxmlformats.org/officeDocument/2006/relationships/hyperlink" Target="https://www.skolverket.se/om-skolverket/nyheter-och-pressmeddelanden/nyheter/nyheter/2026-04-21-nytt-stod-for-att-motverka-sexualbrott" TargetMode="External"/><Relationship Id="rId5" Type="http://schemas.openxmlformats.org/officeDocument/2006/relationships/footnotes" Target="footnotes.xml"/><Relationship Id="rId15" Type="http://schemas.openxmlformats.org/officeDocument/2006/relationships/hyperlink" Target="https://www.skolverket.se/om-skolverket/nyheter-och-pressmeddelanden/pressmeddelanden/pressmeddelanden/2026-04-09-manga-gymnasieelever-riskerar-att-inte-fa-den-undervisningstid-de-har-ratt-till" TargetMode="External"/><Relationship Id="rId23" Type="http://schemas.openxmlformats.org/officeDocument/2006/relationships/hyperlink" Target="https://www.regeringen.se/pressmeddelanden/2025/02/nytt-stodmaterial-ska-forebygga-sexualbrott-och-andra-grova-brott-i-forskolan-och-skolan/" TargetMode="External"/><Relationship Id="rId28" Type="http://schemas.openxmlformats.org/officeDocument/2006/relationships/header" Target="header1.xml"/><Relationship Id="rId10" Type="http://schemas.openxmlformats.org/officeDocument/2006/relationships/hyperlink" Target="https://www.skolverket.se/sok-publikationer/publikationsserier/beskrivande-statistik/2026/barn-och-personal-i-forskola---hosten-2025" TargetMode="External"/><Relationship Id="rId19" Type="http://schemas.openxmlformats.org/officeDocument/2006/relationships/hyperlink" Target="https://www.regeringen.se/pressmeddelanden/2026/04/skolverket-ska-genomfora-kunskapshojande-insatser-mot-antisemitism/" TargetMode="External"/><Relationship Id="rId4" Type="http://schemas.openxmlformats.org/officeDocument/2006/relationships/webSettings" Target="webSettings.xml"/><Relationship Id="rId9" Type="http://schemas.openxmlformats.org/officeDocument/2006/relationships/hyperlink" Target="https://www.regeringen.se/pressmeddelanden/2026/04/regeringen-presenterar-en-lasstrategi-for-sverige2/" TargetMode="External"/><Relationship Id="rId14" Type="http://schemas.openxmlformats.org/officeDocument/2006/relationships/hyperlink" Target="https://www.skolverket.se/sok-publikationer/publikationsserier/rapporter/2026/garanterad-undervisningstid-pa-gymnasieskolans-nationella-program" TargetMode="External"/><Relationship Id="rId22" Type="http://schemas.openxmlformats.org/officeDocument/2006/relationships/hyperlink" Target="https://www.regeringen.se/pressmeddelanden/2026/04/nytt-stodmaterial-ska-hjalpa-skolor-att-forebygga-kriminalitet/" TargetMode="External"/><Relationship Id="rId27" Type="http://schemas.openxmlformats.org/officeDocument/2006/relationships/hyperlink" Target="https://skr.se/pressrum/aktuellt/nyhetsarkiv/lagrepensionsavgifterforanstalldaivalfarden.10440.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2101</Words>
  <Characters>15907</Characters>
  <Application>Microsoft Office Word</Application>
  <DocSecurity>0</DocSecurity>
  <Lines>353</Lines>
  <Paragraphs>162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Svensson</dc:creator>
  <cp:keywords/>
  <dc:description/>
  <cp:lastModifiedBy>Sten Svensson</cp:lastModifiedBy>
  <cp:revision>16</cp:revision>
  <dcterms:created xsi:type="dcterms:W3CDTF">2026-04-29T04:05:00Z</dcterms:created>
  <dcterms:modified xsi:type="dcterms:W3CDTF">2026-04-30T10:13:00Z</dcterms:modified>
</cp:coreProperties>
</file>